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2AA6DBFF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EB7AA0">
        <w:rPr>
          <w:rFonts w:ascii="Arial" w:hAnsi="Arial" w:cs="Arial"/>
          <w:b/>
          <w:sz w:val="20"/>
          <w:szCs w:val="20"/>
          <w:lang w:eastAsia="pl-PL"/>
        </w:rPr>
        <w:t>o-instalacyjne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70E7" w14:textId="77777777" w:rsidR="00E8223C" w:rsidRDefault="00E8223C" w:rsidP="00193B78">
      <w:pPr>
        <w:spacing w:after="0" w:line="240" w:lineRule="auto"/>
      </w:pPr>
      <w:r>
        <w:separator/>
      </w:r>
    </w:p>
  </w:endnote>
  <w:endnote w:type="continuationSeparator" w:id="0">
    <w:p w14:paraId="58D5A67B" w14:textId="77777777" w:rsidR="00E8223C" w:rsidRDefault="00E8223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8108" w14:textId="77777777" w:rsidR="00E8223C" w:rsidRDefault="00E8223C" w:rsidP="00193B78">
      <w:pPr>
        <w:spacing w:after="0" w:line="240" w:lineRule="auto"/>
      </w:pPr>
      <w:r>
        <w:separator/>
      </w:r>
    </w:p>
  </w:footnote>
  <w:footnote w:type="continuationSeparator" w:id="0">
    <w:p w14:paraId="79E0F6E7" w14:textId="77777777" w:rsidR="00E8223C" w:rsidRDefault="00E8223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793F2A4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796DC0">
      <w:rPr>
        <w:rFonts w:ascii="Arial" w:hAnsi="Arial" w:cs="Arial"/>
        <w:i/>
        <w:sz w:val="20"/>
        <w:szCs w:val="20"/>
      </w:rPr>
      <w:t>10</w:t>
    </w:r>
    <w:r w:rsidR="007A3E5B">
      <w:rPr>
        <w:rFonts w:ascii="Arial" w:hAnsi="Arial" w:cs="Arial"/>
        <w:i/>
        <w:sz w:val="20"/>
        <w:szCs w:val="20"/>
      </w:rPr>
      <w:t>/23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53765"/>
    <w:rsid w:val="0076135E"/>
    <w:rsid w:val="00783D70"/>
    <w:rsid w:val="00796DC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8223C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144</cp:revision>
  <cp:lastPrinted>2021-05-24T05:59:00Z</cp:lastPrinted>
  <dcterms:created xsi:type="dcterms:W3CDTF">2013-05-26T19:25:00Z</dcterms:created>
  <dcterms:modified xsi:type="dcterms:W3CDTF">2023-04-03T11:27:00Z</dcterms:modified>
</cp:coreProperties>
</file>