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41CDD55B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C1744B">
        <w:rPr>
          <w:rFonts w:ascii="Arial" w:hAnsi="Arial" w:cs="Arial"/>
          <w:b/>
        </w:rPr>
        <w:t>2</w:t>
      </w:r>
      <w:r w:rsidR="00A33730">
        <w:rPr>
          <w:rFonts w:ascii="Arial" w:hAnsi="Arial" w:cs="Arial"/>
          <w:b/>
        </w:rPr>
        <w:t>0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57794AAB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A33730">
        <w:rPr>
          <w:rFonts w:ascii="Arial" w:hAnsi="Arial" w:cs="Arial"/>
        </w:rPr>
        <w:t>„</w:t>
      </w:r>
      <w:r w:rsidR="00A33730">
        <w:rPr>
          <w:rFonts w:ascii="Arial" w:hAnsi="Arial" w:cs="Arial"/>
          <w:b/>
          <w:bCs/>
        </w:rPr>
        <w:t xml:space="preserve">Zakup wraz z sukcesywną dostawą </w:t>
      </w:r>
      <w:r w:rsidR="00666366">
        <w:rPr>
          <w:rFonts w:ascii="Arial" w:hAnsi="Arial" w:cs="Arial"/>
          <w:b/>
          <w:bCs/>
        </w:rPr>
        <w:t xml:space="preserve">pieluchomajtek </w:t>
      </w:r>
      <w:r w:rsidR="00A33730">
        <w:rPr>
          <w:rFonts w:ascii="Arial" w:hAnsi="Arial" w:cs="Arial"/>
          <w:b/>
          <w:bCs/>
        </w:rPr>
        <w:t>w 2023</w:t>
      </w:r>
      <w:r w:rsidR="00A33730">
        <w:rPr>
          <w:rFonts w:ascii="Arial" w:hAnsi="Arial" w:cs="Arial"/>
        </w:rPr>
        <w:t>”,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(DzU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1937FB"/>
    <w:rsid w:val="003251C3"/>
    <w:rsid w:val="00391986"/>
    <w:rsid w:val="003F0F9C"/>
    <w:rsid w:val="005E0ACA"/>
    <w:rsid w:val="00666366"/>
    <w:rsid w:val="00691E88"/>
    <w:rsid w:val="008D63C8"/>
    <w:rsid w:val="00955A3D"/>
    <w:rsid w:val="00A33730"/>
    <w:rsid w:val="00C1744B"/>
    <w:rsid w:val="00E5022C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12</cp:revision>
  <cp:lastPrinted>2022-11-15T23:34:00Z</cp:lastPrinted>
  <dcterms:created xsi:type="dcterms:W3CDTF">2022-10-26T11:10:00Z</dcterms:created>
  <dcterms:modified xsi:type="dcterms:W3CDTF">2023-01-04T20:25:00Z</dcterms:modified>
</cp:coreProperties>
</file>