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8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108"/>
        <w:gridCol w:w="6303"/>
      </w:tblGrid>
      <w:tr w:rsidR="005B20A4" w:rsidRPr="005B20A4" w14:paraId="70C6535C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34666DC9" w14:textId="77777777" w:rsidR="005B20A4" w:rsidRDefault="005B20A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Nazwa komponentu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14:paraId="588E93BB" w14:textId="77777777" w:rsidR="005B20A4" w:rsidRDefault="005B20A4">
            <w:pPr>
              <w:ind w:left="-7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Wymagane minimalne parametry techniczne monitora</w:t>
            </w:r>
          </w:p>
        </w:tc>
      </w:tr>
      <w:tr w:rsidR="005B20A4" w14:paraId="38A3AF46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D5E1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Typ ekranu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CA1E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Aktywna matryca - TFT LCD 23,8”</w:t>
            </w:r>
          </w:p>
        </w:tc>
      </w:tr>
      <w:tr w:rsidR="005B20A4" w14:paraId="286E9A45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EA1E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Typ panelu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6AFF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IPS</w:t>
            </w:r>
          </w:p>
        </w:tc>
      </w:tr>
      <w:tr w:rsidR="005B20A4" w14:paraId="4C53FD12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68B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Rozstaw pikseli (maksymalnie)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A54B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>0,2745 mm x 0,2745 mm</w:t>
            </w:r>
          </w:p>
        </w:tc>
      </w:tr>
      <w:tr w:rsidR="005B20A4" w14:paraId="47728639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78AD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Jasność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5638" w14:textId="77777777" w:rsidR="005B20A4" w:rsidRDefault="005B20A4">
            <w:pPr>
              <w:rPr>
                <w:rFonts w:ascii="Arial" w:hAnsi="Arial" w:cs="Arial"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>250 cd/m2</w:t>
            </w:r>
          </w:p>
        </w:tc>
      </w:tr>
      <w:tr w:rsidR="005B20A4" w14:paraId="6363C594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177F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Kontrast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0DFF" w14:textId="77777777" w:rsidR="005B20A4" w:rsidRDefault="005B20A4">
            <w:pPr>
              <w:rPr>
                <w:rFonts w:ascii="Arial" w:hAnsi="Arial" w:cs="Arial"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>1000:1</w:t>
            </w:r>
          </w:p>
        </w:tc>
      </w:tr>
      <w:tr w:rsidR="005B20A4" w14:paraId="58953070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A5B9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Kąty widzenia (pion/poziom)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4D59" w14:textId="77777777" w:rsidR="005B20A4" w:rsidRDefault="005B20A4">
            <w:pPr>
              <w:rPr>
                <w:rFonts w:ascii="Arial" w:hAnsi="Arial" w:cs="Arial"/>
                <w:bCs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lang w:eastAsia="en-US"/>
              </w:rPr>
              <w:t>178/178 stopni</w:t>
            </w:r>
          </w:p>
        </w:tc>
      </w:tr>
      <w:tr w:rsidR="005B20A4" w14:paraId="5CE39072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221C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Czas reakcji matrycy</w:t>
            </w:r>
          </w:p>
          <w:p w14:paraId="5ED97BD0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(maksymalnie)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CD47" w14:textId="77777777" w:rsidR="005B20A4" w:rsidRDefault="005B20A4">
            <w:pPr>
              <w:rPr>
                <w:rFonts w:ascii="Arial" w:hAnsi="Arial" w:cs="Arial"/>
                <w:bCs/>
                <w:sz w:val="20"/>
                <w:lang w:val="en-US" w:eastAsia="en-US"/>
              </w:rPr>
            </w:pPr>
            <w:r>
              <w:rPr>
                <w:rFonts w:ascii="Arial" w:hAnsi="Arial" w:cs="Arial"/>
                <w:bCs/>
                <w:sz w:val="20"/>
                <w:lang w:val="en-US" w:eastAsia="en-US"/>
              </w:rPr>
              <w:t xml:space="preserve">5ms (gray to gray) w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US" w:eastAsia="en-US"/>
              </w:rPr>
              <w:t>trybie</w:t>
            </w:r>
            <w:proofErr w:type="spellEnd"/>
            <w:r>
              <w:rPr>
                <w:rFonts w:ascii="Arial" w:hAnsi="Arial" w:cs="Arial"/>
                <w:bCs/>
                <w:sz w:val="20"/>
                <w:lang w:val="en-US" w:eastAsia="en-US"/>
              </w:rPr>
              <w:t xml:space="preserve"> fast</w:t>
            </w:r>
          </w:p>
          <w:p w14:paraId="5422FA27" w14:textId="77777777" w:rsidR="005B20A4" w:rsidRDefault="005B20A4">
            <w:pPr>
              <w:rPr>
                <w:rFonts w:ascii="Arial" w:hAnsi="Arial" w:cs="Arial"/>
                <w:bCs/>
                <w:sz w:val="20"/>
                <w:lang w:val="en-US" w:eastAsia="en-US"/>
              </w:rPr>
            </w:pPr>
            <w:r>
              <w:rPr>
                <w:rFonts w:ascii="Arial" w:hAnsi="Arial" w:cs="Arial"/>
                <w:bCs/>
                <w:sz w:val="20"/>
                <w:lang w:val="en-US" w:eastAsia="en-US"/>
              </w:rPr>
              <w:t xml:space="preserve">8ms (gray to gray) w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US" w:eastAsia="en-US"/>
              </w:rPr>
              <w:t>trybie</w:t>
            </w:r>
            <w:proofErr w:type="spellEnd"/>
            <w:r>
              <w:rPr>
                <w:rFonts w:ascii="Arial" w:hAnsi="Arial" w:cs="Arial"/>
                <w:bCs/>
                <w:sz w:val="20"/>
                <w:lang w:val="en-US" w:eastAsia="en-US"/>
              </w:rPr>
              <w:t xml:space="preserve"> normal</w:t>
            </w:r>
          </w:p>
        </w:tc>
      </w:tr>
      <w:tr w:rsidR="005B20A4" w14:paraId="6EE2614C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3CEF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Rozdzielczość maksymalna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564B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 xml:space="preserve">1920 x 1080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US"/>
              </w:rPr>
              <w:t>przy</w:t>
            </w:r>
            <w:proofErr w:type="spellEnd"/>
            <w:r>
              <w:rPr>
                <w:rFonts w:ascii="Arial" w:hAnsi="Arial" w:cs="Arial"/>
                <w:bCs/>
                <w:sz w:val="20"/>
                <w:lang w:val="en-US"/>
              </w:rPr>
              <w:t xml:space="preserve"> 60 Hz</w:t>
            </w:r>
          </w:p>
        </w:tc>
      </w:tr>
      <w:tr w:rsidR="005B20A4" w14:paraId="15CE0607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8995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Gama koloru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0567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min. 99%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sRGB</w:t>
            </w:r>
            <w:proofErr w:type="spellEnd"/>
          </w:p>
        </w:tc>
      </w:tr>
      <w:tr w:rsidR="005B20A4" w14:paraId="09A0B825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0A92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Częstotliwość odświeżania poziomego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3637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30-83  kHz</w:t>
            </w:r>
          </w:p>
        </w:tc>
      </w:tr>
      <w:tr w:rsidR="005B20A4" w14:paraId="2EB08EFD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26F3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Częstotliwość odświeżania pionowego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2B5E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 56-76 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Hz</w:t>
            </w:r>
            <w:proofErr w:type="spellEnd"/>
          </w:p>
        </w:tc>
      </w:tr>
      <w:tr w:rsidR="005B20A4" w14:paraId="65DCAE8A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5195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Pochylenie monitora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9A84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W zakresie 26 stopni</w:t>
            </w:r>
          </w:p>
        </w:tc>
      </w:tr>
      <w:tr w:rsidR="005B20A4" w14:paraId="14AF8EF5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D63F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Podstawa z regulowaną wysokością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213B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150mm</w:t>
            </w:r>
          </w:p>
        </w:tc>
      </w:tr>
      <w:tr w:rsidR="005B20A4" w14:paraId="06D95E37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FB29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Obrót lewo/prawo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298A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Min. 90 stopni</w:t>
            </w:r>
          </w:p>
        </w:tc>
      </w:tr>
      <w:tr w:rsidR="005B20A4" w14:paraId="49102C85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179B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Powłoka powierzchni ekranu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74EC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Antyrefleksyjna</w:t>
            </w:r>
          </w:p>
        </w:tc>
      </w:tr>
      <w:tr w:rsidR="005B20A4" w14:paraId="51FE1E22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B94B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Podświetlenie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36F4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System podświetlenia LED</w:t>
            </w:r>
          </w:p>
        </w:tc>
      </w:tr>
      <w:tr w:rsidR="005B20A4" w14:paraId="614B089A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E2FC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Waga bez podstawy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8ED9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Maksymalnie 3,4kg</w:t>
            </w:r>
          </w:p>
        </w:tc>
      </w:tr>
      <w:tr w:rsidR="005B20A4" w14:paraId="612022C9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D9D5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Waga z podstawą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8AB6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Maksymalnie 5,6kg</w:t>
            </w:r>
          </w:p>
        </w:tc>
      </w:tr>
      <w:tr w:rsidR="005B20A4" w14:paraId="5C2428C9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5B7A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Złącze 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24B9" w14:textId="77777777" w:rsidR="005B20A4" w:rsidRDefault="005B20A4">
            <w:pPr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>1 x HDMI 1.4</w:t>
            </w:r>
          </w:p>
          <w:p w14:paraId="6C429908" w14:textId="77777777" w:rsidR="005B20A4" w:rsidRDefault="005B20A4">
            <w:pPr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>1 x DisplayPort 1.2</w:t>
            </w:r>
            <w:r>
              <w:rPr>
                <w:rFonts w:ascii="Arial" w:hAnsi="Arial" w:cs="Arial"/>
                <w:bCs/>
                <w:sz w:val="20"/>
                <w:lang w:val="en-US"/>
              </w:rPr>
              <w:br/>
              <w:t>1 x VGA</w:t>
            </w:r>
          </w:p>
          <w:p w14:paraId="51F5C137" w14:textId="77777777" w:rsidR="005B20A4" w:rsidRDefault="005B20A4">
            <w:pPr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lang w:val="en-US"/>
              </w:rPr>
              <w:t xml:space="preserve">4 x USB 3.2 Gen 1 </w:t>
            </w:r>
            <w:proofErr w:type="spellStart"/>
            <w:r>
              <w:rPr>
                <w:rFonts w:ascii="Arial" w:hAnsi="Arial" w:cs="Arial"/>
                <w:bCs/>
                <w:sz w:val="20"/>
                <w:lang w:val="en-US"/>
              </w:rPr>
              <w:t>Typ</w:t>
            </w:r>
            <w:proofErr w:type="spellEnd"/>
            <w:r>
              <w:rPr>
                <w:rFonts w:ascii="Arial" w:hAnsi="Arial" w:cs="Arial"/>
                <w:bCs/>
                <w:sz w:val="20"/>
                <w:lang w:val="en-US"/>
              </w:rPr>
              <w:t>-A</w:t>
            </w:r>
          </w:p>
          <w:p w14:paraId="5C0237D1" w14:textId="77777777" w:rsidR="005B20A4" w:rsidRDefault="005B20A4">
            <w:pPr>
              <w:rPr>
                <w:rFonts w:ascii="Arial" w:hAnsi="Arial" w:cs="Arial"/>
                <w:bCs/>
                <w:color w:val="70AD47"/>
                <w:sz w:val="20"/>
                <w:lang w:val="en-US"/>
              </w:rPr>
            </w:pPr>
          </w:p>
        </w:tc>
      </w:tr>
      <w:tr w:rsidR="005B20A4" w:rsidRPr="005B20A4" w14:paraId="59DE558E" w14:textId="77777777" w:rsidTr="005B20A4">
        <w:trPr>
          <w:trHeight w:val="247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9B61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Gwarancja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DBD0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5 lat gwarancji 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door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>-to-</w:t>
            </w:r>
            <w:proofErr w:type="spellStart"/>
            <w:r>
              <w:rPr>
                <w:rFonts w:ascii="Arial" w:hAnsi="Arial" w:cs="Arial"/>
                <w:bCs/>
                <w:sz w:val="20"/>
              </w:rPr>
              <w:t>door</w:t>
            </w:r>
            <w:proofErr w:type="spellEnd"/>
            <w:r>
              <w:rPr>
                <w:rFonts w:ascii="Arial" w:hAnsi="Arial" w:cs="Arial"/>
                <w:bCs/>
                <w:sz w:val="20"/>
              </w:rPr>
              <w:t xml:space="preserve"> producenta lub autoryzowanego partnera producenta</w:t>
            </w:r>
          </w:p>
          <w:p w14:paraId="5DC392E7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Czas reakcji serwisu - do końca następnego dnia roboczego</w:t>
            </w:r>
          </w:p>
          <w:p w14:paraId="32E787AD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Firma serwisująca musi posiadać ISO 9001:2000 na świadczenie usług serwisowych oraz posiadać autoryzacje producenta komputera – dokumenty potwierdzające załączyć do oferty.</w:t>
            </w:r>
          </w:p>
          <w:p w14:paraId="774CD6EE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Oświadczenie producenta komputera, że w przypadku nie wywiązywania się z obowiązków gwarancyjnych oferenta lub firmy serwisującej, przejmie na siebie wszelkie zobowiązania związane z serwisem.</w:t>
            </w:r>
          </w:p>
        </w:tc>
      </w:tr>
      <w:tr w:rsidR="005B20A4" w:rsidRPr="005B20A4" w14:paraId="14CF0D3F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1468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Certyfikaty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C23C" w14:textId="77777777" w:rsidR="005B20A4" w:rsidRPr="005B20A4" w:rsidRDefault="005B20A4">
            <w:pPr>
              <w:rPr>
                <w:rFonts w:ascii="Arial" w:hAnsi="Arial" w:cs="Arial"/>
                <w:bCs/>
                <w:sz w:val="20"/>
              </w:rPr>
            </w:pPr>
            <w:r w:rsidRPr="005B20A4">
              <w:rPr>
                <w:rFonts w:ascii="Arial" w:hAnsi="Arial" w:cs="Arial"/>
                <w:bCs/>
                <w:sz w:val="20"/>
              </w:rPr>
              <w:t>EPEAT Gold</w:t>
            </w:r>
          </w:p>
          <w:p w14:paraId="4C643337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Monitor musi się znajdować na stronie TCO :</w:t>
            </w:r>
          </w:p>
          <w:p w14:paraId="3B0DA065" w14:textId="77777777" w:rsidR="005B20A4" w:rsidRDefault="005B20A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http://tcocertified.com/product-finder/</w:t>
            </w:r>
          </w:p>
        </w:tc>
      </w:tr>
      <w:tr w:rsidR="005B20A4" w14:paraId="3EB9B274" w14:textId="77777777" w:rsidTr="005B20A4">
        <w:trPr>
          <w:trHeight w:val="284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F975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Inne</w:t>
            </w:r>
          </w:p>
        </w:tc>
        <w:tc>
          <w:tcPr>
            <w:tcW w:w="3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F9F6" w14:textId="77777777" w:rsidR="005B20A4" w:rsidRDefault="005B20A4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Monitor musi posiadać trwałe oznaczenie logo producenta jednostki centralnej. Odłączany stand bez użycia narzędzi</w:t>
            </w:r>
          </w:p>
          <w:p w14:paraId="4FCB20E4" w14:textId="77777777" w:rsidR="005B20A4" w:rsidRDefault="005B20A4">
            <w:pPr>
              <w:rPr>
                <w:rFonts w:ascii="Arial" w:hAnsi="Arial" w:cs="Arial"/>
                <w:bCs/>
                <w:sz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VESA 100mm. </w:t>
            </w:r>
          </w:p>
        </w:tc>
      </w:tr>
    </w:tbl>
    <w:p w14:paraId="74FFEDFE" w14:textId="77777777" w:rsidR="005B20A4" w:rsidRDefault="005B20A4" w:rsidP="005B20A4">
      <w:pPr>
        <w:rPr>
          <w:rFonts w:ascii="Arial" w:hAnsi="Arial" w:cs="Arial"/>
          <w:color w:val="70AD47"/>
          <w:lang w:val="en-US"/>
        </w:rPr>
      </w:pPr>
    </w:p>
    <w:p w14:paraId="487BB037" w14:textId="77777777" w:rsidR="00D71C76" w:rsidRDefault="00D71C76"/>
    <w:sectPr w:rsidR="00D71C7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E98"/>
    <w:rsid w:val="00231E98"/>
    <w:rsid w:val="005B20A4"/>
    <w:rsid w:val="00CF2F96"/>
    <w:rsid w:val="00D7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A383CB-73A9-42C9-A401-E383172D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20A4"/>
    <w:pPr>
      <w:spacing w:after="0" w:line="240" w:lineRule="auto"/>
    </w:pPr>
    <w:rPr>
      <w:rFonts w:ascii="Arial Narrow" w:eastAsia="Times New Roman" w:hAnsi="Arial Narrow" w:cs="Times New Roman"/>
      <w:kern w:val="0"/>
      <w:szCs w:val="20"/>
      <w:lang w:val="pl-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8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Jakub Łuczkowiak</cp:lastModifiedBy>
  <cp:revision>2</cp:revision>
  <dcterms:created xsi:type="dcterms:W3CDTF">2024-02-02T10:33:00Z</dcterms:created>
  <dcterms:modified xsi:type="dcterms:W3CDTF">2024-02-02T10:33:00Z</dcterms:modified>
</cp:coreProperties>
</file>