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Ind w:w="0" w:type="dxa"/>
        <w:tblLook w:val="04A0" w:firstRow="1" w:lastRow="0" w:firstColumn="1" w:lastColumn="0" w:noHBand="0" w:noVBand="1"/>
      </w:tblPr>
      <w:tblGrid>
        <w:gridCol w:w="2216"/>
        <w:gridCol w:w="7134"/>
      </w:tblGrid>
      <w:tr w:rsidR="00B76CB0" w14:paraId="4DABBF4B" w14:textId="77777777" w:rsidTr="00B76CB0">
        <w:trPr>
          <w:trHeight w:val="350"/>
        </w:trPr>
        <w:tc>
          <w:tcPr>
            <w:tcW w:w="2216" w:type="dxa"/>
            <w:tcBorders>
              <w:top w:val="single" w:sz="4" w:space="0" w:color="auto"/>
              <w:left w:val="single" w:sz="4" w:space="0" w:color="auto"/>
              <w:bottom w:val="single" w:sz="4" w:space="0" w:color="auto"/>
              <w:right w:val="single" w:sz="4" w:space="0" w:color="auto"/>
            </w:tcBorders>
            <w:hideMark/>
          </w:tcPr>
          <w:p w14:paraId="03018E01" w14:textId="77777777" w:rsidR="00B76CB0" w:rsidRDefault="00B76CB0">
            <w:pPr>
              <w:pStyle w:val="Nagwek3"/>
              <w:spacing w:line="240" w:lineRule="auto"/>
              <w:rPr>
                <w:rFonts w:asciiTheme="minorHAnsi" w:hAnsiTheme="minorHAnsi" w:cstheme="minorHAnsi"/>
                <w:color w:val="auto"/>
                <w:sz w:val="20"/>
                <w:szCs w:val="20"/>
              </w:rPr>
            </w:pPr>
            <w:r>
              <w:rPr>
                <w:rFonts w:asciiTheme="minorHAnsi" w:hAnsiTheme="minorHAnsi" w:cstheme="minorHAnsi"/>
                <w:color w:val="auto"/>
                <w:sz w:val="20"/>
                <w:szCs w:val="20"/>
              </w:rPr>
              <w:t>Nazwa</w:t>
            </w:r>
          </w:p>
        </w:tc>
        <w:tc>
          <w:tcPr>
            <w:tcW w:w="7134" w:type="dxa"/>
            <w:tcBorders>
              <w:top w:val="single" w:sz="4" w:space="0" w:color="auto"/>
              <w:left w:val="single" w:sz="4" w:space="0" w:color="auto"/>
              <w:bottom w:val="single" w:sz="4" w:space="0" w:color="auto"/>
              <w:right w:val="single" w:sz="4" w:space="0" w:color="auto"/>
            </w:tcBorders>
            <w:hideMark/>
          </w:tcPr>
          <w:p w14:paraId="6DB180EC" w14:textId="77777777" w:rsidR="00B76CB0" w:rsidRDefault="00B76CB0">
            <w:pPr>
              <w:spacing w:after="0" w:line="240" w:lineRule="auto"/>
              <w:jc w:val="center"/>
              <w:rPr>
                <w:rFonts w:cstheme="minorHAnsi"/>
                <w:sz w:val="20"/>
                <w:szCs w:val="20"/>
              </w:rPr>
            </w:pPr>
            <w:proofErr w:type="spellStart"/>
            <w:r>
              <w:rPr>
                <w:rFonts w:cstheme="minorHAnsi"/>
                <w:sz w:val="20"/>
                <w:szCs w:val="20"/>
              </w:rPr>
              <w:t>Wymagane</w:t>
            </w:r>
            <w:proofErr w:type="spellEnd"/>
            <w:r>
              <w:rPr>
                <w:rFonts w:cstheme="minorHAnsi"/>
                <w:sz w:val="20"/>
                <w:szCs w:val="20"/>
              </w:rPr>
              <w:t xml:space="preserve"> </w:t>
            </w:r>
            <w:proofErr w:type="spellStart"/>
            <w:r>
              <w:rPr>
                <w:rFonts w:cstheme="minorHAnsi"/>
                <w:sz w:val="20"/>
                <w:szCs w:val="20"/>
              </w:rPr>
              <w:t>parametry</w:t>
            </w:r>
            <w:proofErr w:type="spellEnd"/>
            <w:r>
              <w:rPr>
                <w:rFonts w:cstheme="minorHAnsi"/>
                <w:sz w:val="20"/>
                <w:szCs w:val="20"/>
              </w:rPr>
              <w:t xml:space="preserve"> </w:t>
            </w:r>
            <w:proofErr w:type="spellStart"/>
            <w:r>
              <w:rPr>
                <w:rFonts w:cstheme="minorHAnsi"/>
                <w:sz w:val="20"/>
                <w:szCs w:val="20"/>
              </w:rPr>
              <w:t>techniczne</w:t>
            </w:r>
            <w:proofErr w:type="spellEnd"/>
          </w:p>
        </w:tc>
      </w:tr>
      <w:tr w:rsidR="00B76CB0" w:rsidRPr="00B76CB0" w14:paraId="348754AE"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D67DD5" w14:textId="77777777" w:rsidR="00B76CB0" w:rsidRDefault="00B76CB0">
            <w:pPr>
              <w:spacing w:after="0" w:line="240" w:lineRule="auto"/>
              <w:rPr>
                <w:rFonts w:cstheme="minorHAnsi"/>
                <w:sz w:val="20"/>
                <w:szCs w:val="20"/>
              </w:rPr>
            </w:pPr>
            <w:r>
              <w:rPr>
                <w:rFonts w:cstheme="minorHAnsi"/>
                <w:sz w:val="20"/>
                <w:szCs w:val="20"/>
              </w:rPr>
              <w:t>Zastosowanie</w:t>
            </w:r>
          </w:p>
        </w:tc>
        <w:tc>
          <w:tcPr>
            <w:tcW w:w="7134" w:type="dxa"/>
            <w:tcBorders>
              <w:top w:val="single" w:sz="4" w:space="0" w:color="auto"/>
              <w:left w:val="single" w:sz="4" w:space="0" w:color="auto"/>
              <w:bottom w:val="single" w:sz="4" w:space="0" w:color="auto"/>
              <w:right w:val="single" w:sz="4" w:space="0" w:color="auto"/>
            </w:tcBorders>
            <w:hideMark/>
          </w:tcPr>
          <w:p w14:paraId="4FA62932" w14:textId="77777777" w:rsidR="00B76CB0" w:rsidRDefault="00B76CB0">
            <w:pPr>
              <w:spacing w:after="0" w:line="240" w:lineRule="auto"/>
              <w:jc w:val="both"/>
              <w:rPr>
                <w:rFonts w:cstheme="minorHAnsi"/>
                <w:sz w:val="20"/>
                <w:szCs w:val="20"/>
                <w:lang w:val="pl-PL"/>
              </w:rPr>
            </w:pPr>
            <w:r>
              <w:rPr>
                <w:rFonts w:cstheme="minorHAnsi"/>
                <w:sz w:val="20"/>
                <w:szCs w:val="20"/>
                <w:lang w:val="pl-PL"/>
              </w:rPr>
              <w:t>Komputer mobilny będzie wykorzystywany dla potrzeb aplikacji biurowych, obliczeniowych, dostępu do Internetu oraz poczty elektronicznej.</w:t>
            </w:r>
          </w:p>
        </w:tc>
      </w:tr>
      <w:tr w:rsidR="00B76CB0" w14:paraId="6A8034B1"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C8782B" w14:textId="77777777" w:rsidR="00B76CB0" w:rsidRDefault="00B76CB0">
            <w:pPr>
              <w:spacing w:after="0" w:line="240" w:lineRule="auto"/>
              <w:rPr>
                <w:rFonts w:cstheme="minorHAnsi"/>
                <w:sz w:val="20"/>
                <w:szCs w:val="20"/>
              </w:rPr>
            </w:pPr>
            <w:proofErr w:type="spellStart"/>
            <w:r>
              <w:rPr>
                <w:rFonts w:cstheme="minorHAnsi"/>
                <w:sz w:val="20"/>
                <w:szCs w:val="20"/>
              </w:rPr>
              <w:t>Matryca</w:t>
            </w:r>
            <w:proofErr w:type="spellEnd"/>
          </w:p>
        </w:tc>
        <w:tc>
          <w:tcPr>
            <w:tcW w:w="7134" w:type="dxa"/>
            <w:tcBorders>
              <w:top w:val="single" w:sz="4" w:space="0" w:color="auto"/>
              <w:left w:val="single" w:sz="4" w:space="0" w:color="auto"/>
              <w:bottom w:val="single" w:sz="4" w:space="0" w:color="auto"/>
              <w:right w:val="single" w:sz="4" w:space="0" w:color="auto"/>
            </w:tcBorders>
            <w:hideMark/>
          </w:tcPr>
          <w:p w14:paraId="13B6E51D" w14:textId="77777777" w:rsidR="00B76CB0" w:rsidRDefault="00B76CB0">
            <w:pPr>
              <w:spacing w:after="0" w:line="240" w:lineRule="auto"/>
              <w:jc w:val="both"/>
              <w:outlineLvl w:val="0"/>
              <w:rPr>
                <w:rFonts w:cstheme="minorHAnsi"/>
                <w:sz w:val="20"/>
                <w:szCs w:val="20"/>
                <w:lang w:val="pl-PL"/>
              </w:rPr>
            </w:pPr>
            <w:r>
              <w:rPr>
                <w:rFonts w:cstheme="minorHAnsi"/>
                <w:sz w:val="20"/>
                <w:szCs w:val="20"/>
                <w:lang w:val="pl-PL"/>
              </w:rPr>
              <w:t xml:space="preserve">15,6” FHD (1920 x 1080), powłoką przeciwodblaskową, jasność 250 </w:t>
            </w:r>
            <w:proofErr w:type="spellStart"/>
            <w:r>
              <w:rPr>
                <w:rFonts w:cstheme="minorHAnsi"/>
                <w:sz w:val="20"/>
                <w:szCs w:val="20"/>
                <w:lang w:val="pl-PL"/>
              </w:rPr>
              <w:t>nits</w:t>
            </w:r>
            <w:proofErr w:type="spellEnd"/>
            <w:r>
              <w:rPr>
                <w:rFonts w:cstheme="minorHAnsi"/>
                <w:sz w:val="20"/>
                <w:szCs w:val="20"/>
                <w:lang w:val="pl-PL"/>
              </w:rPr>
              <w:t>, kontrast min. 600:1, gama koloru min. NTSC 45% (typowo)</w:t>
            </w:r>
          </w:p>
        </w:tc>
      </w:tr>
      <w:tr w:rsidR="00B76CB0" w:rsidRPr="00B76CB0" w14:paraId="19BAFE28"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725C1E" w14:textId="77777777" w:rsidR="00B76CB0" w:rsidRDefault="00B76CB0">
            <w:pPr>
              <w:spacing w:after="0" w:line="240" w:lineRule="auto"/>
              <w:rPr>
                <w:rFonts w:cstheme="minorHAnsi"/>
                <w:sz w:val="20"/>
                <w:szCs w:val="20"/>
              </w:rPr>
            </w:pPr>
            <w:proofErr w:type="spellStart"/>
            <w:r>
              <w:rPr>
                <w:rFonts w:cstheme="minorHAnsi"/>
                <w:sz w:val="20"/>
                <w:szCs w:val="20"/>
              </w:rPr>
              <w:t>Procesor</w:t>
            </w:r>
            <w:proofErr w:type="spellEnd"/>
            <w:r>
              <w:rPr>
                <w:rFonts w:cstheme="minorHAnsi"/>
                <w:sz w:val="20"/>
                <w:szCs w:val="20"/>
              </w:rPr>
              <w:t xml:space="preserve"> </w:t>
            </w:r>
          </w:p>
        </w:tc>
        <w:tc>
          <w:tcPr>
            <w:tcW w:w="7134" w:type="dxa"/>
            <w:tcBorders>
              <w:top w:val="single" w:sz="4" w:space="0" w:color="auto"/>
              <w:left w:val="single" w:sz="4" w:space="0" w:color="auto"/>
              <w:bottom w:val="single" w:sz="4" w:space="0" w:color="auto"/>
              <w:right w:val="single" w:sz="4" w:space="0" w:color="auto"/>
            </w:tcBorders>
            <w:hideMark/>
          </w:tcPr>
          <w:p w14:paraId="6544C15D"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Procesor dedykowany do pracy w laptopach. Procesor umożliwiający osiągnięcie wyniku minimum 16 700  punktów w teście </w:t>
            </w:r>
            <w:proofErr w:type="spellStart"/>
            <w:r>
              <w:rPr>
                <w:rFonts w:cstheme="minorHAnsi"/>
                <w:sz w:val="20"/>
                <w:szCs w:val="20"/>
                <w:lang w:val="pl-PL"/>
              </w:rPr>
              <w:t>PassMark</w:t>
            </w:r>
            <w:proofErr w:type="spellEnd"/>
            <w:r>
              <w:rPr>
                <w:rFonts w:cstheme="minorHAnsi"/>
                <w:sz w:val="20"/>
                <w:szCs w:val="20"/>
                <w:lang w:val="pl-PL"/>
              </w:rPr>
              <w:t xml:space="preserve"> - CPU Mark dostępnym na stronie internetowej https://www.cpubenchmark.net/laptop.html na dzień 22.01.2024 (wyniki załączone do dokumentów zapytania).</w:t>
            </w:r>
          </w:p>
        </w:tc>
      </w:tr>
      <w:tr w:rsidR="00B76CB0" w:rsidRPr="00B76CB0" w14:paraId="7C7B1C64"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B4F131" w14:textId="77777777" w:rsidR="00B76CB0" w:rsidRDefault="00B76CB0">
            <w:pPr>
              <w:spacing w:after="0" w:line="240" w:lineRule="auto"/>
              <w:rPr>
                <w:rFonts w:cstheme="minorHAnsi"/>
                <w:sz w:val="20"/>
                <w:szCs w:val="20"/>
                <w:lang w:val="pl-PL"/>
              </w:rPr>
            </w:pPr>
            <w:r>
              <w:rPr>
                <w:rFonts w:cstheme="minorHAnsi"/>
                <w:sz w:val="20"/>
                <w:szCs w:val="20"/>
                <w:lang w:val="pl-PL"/>
              </w:rPr>
              <w:t>Pamięć RAM</w:t>
            </w:r>
          </w:p>
        </w:tc>
        <w:tc>
          <w:tcPr>
            <w:tcW w:w="7134" w:type="dxa"/>
            <w:tcBorders>
              <w:top w:val="single" w:sz="4" w:space="0" w:color="auto"/>
              <w:left w:val="single" w:sz="4" w:space="0" w:color="auto"/>
              <w:bottom w:val="single" w:sz="4" w:space="0" w:color="auto"/>
              <w:right w:val="single" w:sz="4" w:space="0" w:color="auto"/>
            </w:tcBorders>
            <w:hideMark/>
          </w:tcPr>
          <w:p w14:paraId="7995A22A"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16 GB DDR4 3200MHz możliwość rozbudowy do min 64GB, 2 </w:t>
            </w:r>
            <w:proofErr w:type="spellStart"/>
            <w:r>
              <w:rPr>
                <w:rFonts w:cstheme="minorHAnsi"/>
                <w:sz w:val="20"/>
                <w:szCs w:val="20"/>
                <w:lang w:val="pl-PL"/>
              </w:rPr>
              <w:t>sloty</w:t>
            </w:r>
            <w:proofErr w:type="spellEnd"/>
            <w:r>
              <w:rPr>
                <w:rFonts w:cstheme="minorHAnsi"/>
                <w:sz w:val="20"/>
                <w:szCs w:val="20"/>
                <w:lang w:val="pl-PL"/>
              </w:rPr>
              <w:t xml:space="preserve"> na pamięci w tym min. jeden wolny, </w:t>
            </w:r>
          </w:p>
        </w:tc>
      </w:tr>
      <w:tr w:rsidR="00B76CB0" w14:paraId="2F98F206"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D2157" w14:textId="77777777" w:rsidR="00B76CB0" w:rsidRDefault="00B76CB0">
            <w:pPr>
              <w:spacing w:after="0" w:line="240" w:lineRule="auto"/>
              <w:rPr>
                <w:rFonts w:cstheme="minorHAnsi"/>
                <w:sz w:val="20"/>
                <w:szCs w:val="20"/>
                <w:lang w:val="pl-PL"/>
              </w:rPr>
            </w:pPr>
            <w:r>
              <w:rPr>
                <w:rFonts w:cstheme="minorHAnsi"/>
                <w:sz w:val="20"/>
                <w:szCs w:val="20"/>
                <w:lang w:val="pl-PL"/>
              </w:rPr>
              <w:t>Pamięć masowa</w:t>
            </w:r>
          </w:p>
        </w:tc>
        <w:tc>
          <w:tcPr>
            <w:tcW w:w="7134" w:type="dxa"/>
            <w:tcBorders>
              <w:top w:val="single" w:sz="4" w:space="0" w:color="auto"/>
              <w:left w:val="single" w:sz="4" w:space="0" w:color="auto"/>
              <w:bottom w:val="single" w:sz="4" w:space="0" w:color="auto"/>
              <w:right w:val="single" w:sz="4" w:space="0" w:color="auto"/>
            </w:tcBorders>
            <w:hideMark/>
          </w:tcPr>
          <w:p w14:paraId="1EF4C792"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512 GB </w:t>
            </w:r>
            <w:proofErr w:type="spellStart"/>
            <w:r>
              <w:rPr>
                <w:rFonts w:cstheme="minorHAnsi"/>
                <w:sz w:val="20"/>
                <w:szCs w:val="20"/>
                <w:lang w:val="pl-PL"/>
              </w:rPr>
              <w:t>NVMe</w:t>
            </w:r>
            <w:proofErr w:type="spellEnd"/>
            <w:r>
              <w:rPr>
                <w:rFonts w:cstheme="minorHAnsi"/>
                <w:sz w:val="20"/>
                <w:szCs w:val="20"/>
                <w:lang w:val="pl-PL"/>
              </w:rPr>
              <w:t xml:space="preserve"> SSD M.2 2230</w:t>
            </w:r>
          </w:p>
        </w:tc>
      </w:tr>
      <w:tr w:rsidR="00B76CB0" w14:paraId="4B361B43"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899CAF" w14:textId="77777777" w:rsidR="00B76CB0" w:rsidRDefault="00B76CB0">
            <w:pPr>
              <w:spacing w:after="0" w:line="240" w:lineRule="auto"/>
              <w:rPr>
                <w:rFonts w:cstheme="minorHAnsi"/>
                <w:sz w:val="20"/>
                <w:szCs w:val="20"/>
                <w:lang w:val="pl-PL"/>
              </w:rPr>
            </w:pPr>
            <w:r>
              <w:rPr>
                <w:rFonts w:cstheme="minorHAnsi"/>
                <w:sz w:val="20"/>
                <w:szCs w:val="20"/>
                <w:lang w:val="pl-PL"/>
              </w:rPr>
              <w:t>Karta graficzna</w:t>
            </w:r>
          </w:p>
        </w:tc>
        <w:tc>
          <w:tcPr>
            <w:tcW w:w="7134" w:type="dxa"/>
            <w:tcBorders>
              <w:top w:val="single" w:sz="4" w:space="0" w:color="auto"/>
              <w:left w:val="single" w:sz="4" w:space="0" w:color="auto"/>
              <w:bottom w:val="single" w:sz="4" w:space="0" w:color="auto"/>
              <w:right w:val="single" w:sz="4" w:space="0" w:color="auto"/>
            </w:tcBorders>
            <w:hideMark/>
          </w:tcPr>
          <w:p w14:paraId="4F4CAA82"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Zintegrowana z procesorem </w:t>
            </w:r>
          </w:p>
        </w:tc>
      </w:tr>
      <w:tr w:rsidR="00B76CB0" w:rsidRPr="00B76CB0" w14:paraId="5CCADBA6"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C0B19A" w14:textId="77777777" w:rsidR="00B76CB0" w:rsidRDefault="00B76CB0">
            <w:pPr>
              <w:spacing w:after="0" w:line="240" w:lineRule="auto"/>
              <w:rPr>
                <w:rFonts w:cstheme="minorHAnsi"/>
                <w:sz w:val="20"/>
                <w:szCs w:val="20"/>
                <w:lang w:val="pl-PL"/>
              </w:rPr>
            </w:pPr>
            <w:r>
              <w:rPr>
                <w:rFonts w:cstheme="minorHAnsi"/>
                <w:sz w:val="20"/>
                <w:szCs w:val="20"/>
                <w:lang w:val="pl-PL"/>
              </w:rPr>
              <w:t>Multimedia</w:t>
            </w:r>
          </w:p>
        </w:tc>
        <w:tc>
          <w:tcPr>
            <w:tcW w:w="7134" w:type="dxa"/>
            <w:tcBorders>
              <w:top w:val="single" w:sz="4" w:space="0" w:color="auto"/>
              <w:left w:val="single" w:sz="4" w:space="0" w:color="auto"/>
              <w:bottom w:val="single" w:sz="4" w:space="0" w:color="auto"/>
              <w:right w:val="single" w:sz="4" w:space="0" w:color="auto"/>
            </w:tcBorders>
            <w:hideMark/>
          </w:tcPr>
          <w:p w14:paraId="7C6A6018" w14:textId="77777777" w:rsidR="00B76CB0" w:rsidRDefault="00B76CB0">
            <w:pPr>
              <w:spacing w:after="0" w:line="240" w:lineRule="auto"/>
              <w:jc w:val="both"/>
              <w:rPr>
                <w:rFonts w:cstheme="minorHAnsi"/>
                <w:sz w:val="20"/>
                <w:szCs w:val="20"/>
                <w:lang w:val="pl-PL"/>
              </w:rPr>
            </w:pPr>
            <w:r>
              <w:rPr>
                <w:rFonts w:cstheme="minorHAnsi"/>
                <w:sz w:val="20"/>
                <w:szCs w:val="20"/>
                <w:lang w:val="pl-PL"/>
              </w:rPr>
              <w:t>Karta dźwiękowa zintegrowana z płytą główną, wbudowane dwa głośniki stereo o mocy 2x 2W.</w:t>
            </w:r>
          </w:p>
          <w:p w14:paraId="17F5825D"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Cyfrowe mikrofony z funkcją redukcji szumów i poprawy mowy wbudowany w obudowę matrycy. </w:t>
            </w:r>
          </w:p>
          <w:p w14:paraId="4096F730" w14:textId="77777777" w:rsidR="00B76CB0" w:rsidRDefault="00B76CB0">
            <w:pPr>
              <w:spacing w:after="0" w:line="240" w:lineRule="auto"/>
              <w:jc w:val="both"/>
              <w:rPr>
                <w:rFonts w:cstheme="minorHAnsi"/>
                <w:sz w:val="20"/>
                <w:szCs w:val="20"/>
                <w:lang w:val="pl-PL"/>
              </w:rPr>
            </w:pPr>
            <w:r>
              <w:rPr>
                <w:rFonts w:cstheme="minorHAnsi"/>
                <w:sz w:val="20"/>
                <w:szCs w:val="20"/>
                <w:lang w:val="pl-PL"/>
              </w:rPr>
              <w:t>Kamera internetowa FHD RGB 2 MPIX z kamerą IR, trwale zainstalowana w obudowie matrycy opatrzona wbudowaną mechaniczną przysłonę.</w:t>
            </w:r>
          </w:p>
          <w:p w14:paraId="7A95B843"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1 port audio typu </w:t>
            </w:r>
            <w:proofErr w:type="spellStart"/>
            <w:r>
              <w:rPr>
                <w:rFonts w:cstheme="minorHAnsi"/>
                <w:sz w:val="20"/>
                <w:szCs w:val="20"/>
                <w:lang w:val="pl-PL"/>
              </w:rPr>
              <w:t>combo</w:t>
            </w:r>
            <w:proofErr w:type="spellEnd"/>
            <w:r>
              <w:rPr>
                <w:rFonts w:cstheme="minorHAnsi"/>
                <w:sz w:val="20"/>
                <w:szCs w:val="20"/>
                <w:lang w:val="pl-PL"/>
              </w:rPr>
              <w:t xml:space="preserve"> (słuchawki i mikrofon)</w:t>
            </w:r>
          </w:p>
        </w:tc>
      </w:tr>
      <w:tr w:rsidR="00B76CB0" w:rsidRPr="00B76CB0" w14:paraId="4381D92D"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594C23" w14:textId="77777777" w:rsidR="00B76CB0" w:rsidRDefault="00B76CB0">
            <w:pPr>
              <w:spacing w:after="0" w:line="240" w:lineRule="auto"/>
              <w:rPr>
                <w:rFonts w:cstheme="minorHAnsi"/>
                <w:sz w:val="20"/>
                <w:szCs w:val="20"/>
                <w:lang w:val="pl-PL"/>
              </w:rPr>
            </w:pPr>
            <w:r>
              <w:rPr>
                <w:rFonts w:cstheme="minorHAnsi"/>
                <w:sz w:val="20"/>
                <w:szCs w:val="20"/>
                <w:lang w:val="pl-PL"/>
              </w:rPr>
              <w:t>Łączność bezprzewodowa</w:t>
            </w:r>
          </w:p>
        </w:tc>
        <w:tc>
          <w:tcPr>
            <w:tcW w:w="7134" w:type="dxa"/>
            <w:tcBorders>
              <w:top w:val="single" w:sz="4" w:space="0" w:color="auto"/>
              <w:left w:val="single" w:sz="4" w:space="0" w:color="auto"/>
              <w:bottom w:val="single" w:sz="4" w:space="0" w:color="auto"/>
              <w:right w:val="single" w:sz="4" w:space="0" w:color="auto"/>
            </w:tcBorders>
            <w:hideMark/>
          </w:tcPr>
          <w:p w14:paraId="15CADCF1" w14:textId="77777777" w:rsidR="00B76CB0" w:rsidRDefault="00B76CB0">
            <w:pPr>
              <w:pStyle w:val="Default"/>
              <w:rPr>
                <w:rFonts w:asciiTheme="minorHAnsi" w:hAnsiTheme="minorHAnsi" w:cstheme="minorHAnsi"/>
                <w:color w:val="auto"/>
                <w:sz w:val="20"/>
                <w:szCs w:val="20"/>
                <w:lang w:val="pl-PL"/>
              </w:rPr>
            </w:pPr>
            <w:r>
              <w:rPr>
                <w:rFonts w:asciiTheme="minorHAnsi" w:hAnsiTheme="minorHAnsi" w:cstheme="minorHAnsi"/>
                <w:color w:val="auto"/>
                <w:sz w:val="20"/>
                <w:szCs w:val="20"/>
                <w:lang w:val="pl-PL"/>
              </w:rPr>
              <w:t>Wbudowana karta sieci bezprzewodowej</w:t>
            </w:r>
          </w:p>
          <w:p w14:paraId="228AD7B4" w14:textId="77777777" w:rsidR="00B76CB0" w:rsidRDefault="00B76CB0">
            <w:pPr>
              <w:pStyle w:val="Default"/>
              <w:rPr>
                <w:rFonts w:asciiTheme="minorHAnsi" w:hAnsiTheme="minorHAnsi" w:cstheme="minorHAnsi"/>
                <w:color w:val="auto"/>
                <w:sz w:val="20"/>
                <w:szCs w:val="20"/>
                <w:lang w:val="pl-PL"/>
              </w:rPr>
            </w:pPr>
            <w:r>
              <w:rPr>
                <w:rFonts w:asciiTheme="minorHAnsi" w:hAnsiTheme="minorHAnsi" w:cstheme="minorHAnsi"/>
                <w:color w:val="auto"/>
                <w:sz w:val="20"/>
                <w:szCs w:val="20"/>
                <w:lang w:val="pl-PL"/>
              </w:rPr>
              <w:t>Karta Wi-Fi 6E z Bluetooth 5.3</w:t>
            </w:r>
          </w:p>
        </w:tc>
      </w:tr>
      <w:tr w:rsidR="00B76CB0" w:rsidRPr="00B76CB0" w14:paraId="2A95232E"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756372" w14:textId="77777777" w:rsidR="00B76CB0" w:rsidRDefault="00B76CB0">
            <w:pPr>
              <w:spacing w:after="0" w:line="240" w:lineRule="auto"/>
              <w:rPr>
                <w:rFonts w:cstheme="minorHAnsi"/>
                <w:sz w:val="20"/>
                <w:szCs w:val="20"/>
                <w:lang w:val="pl-PL"/>
              </w:rPr>
            </w:pPr>
            <w:r>
              <w:rPr>
                <w:rFonts w:cstheme="minorHAnsi"/>
                <w:sz w:val="20"/>
                <w:szCs w:val="20"/>
                <w:lang w:val="pl-PL"/>
              </w:rPr>
              <w:t>Bateria i zasilanie</w:t>
            </w:r>
          </w:p>
        </w:tc>
        <w:tc>
          <w:tcPr>
            <w:tcW w:w="7134" w:type="dxa"/>
            <w:tcBorders>
              <w:top w:val="single" w:sz="4" w:space="0" w:color="auto"/>
              <w:left w:val="single" w:sz="4" w:space="0" w:color="auto"/>
              <w:bottom w:val="single" w:sz="4" w:space="0" w:color="auto"/>
              <w:right w:val="single" w:sz="4" w:space="0" w:color="auto"/>
            </w:tcBorders>
            <w:hideMark/>
          </w:tcPr>
          <w:p w14:paraId="1D74ECED" w14:textId="77777777" w:rsidR="00B76CB0" w:rsidRDefault="00B76CB0">
            <w:pPr>
              <w:spacing w:after="0" w:line="240" w:lineRule="auto"/>
              <w:jc w:val="both"/>
              <w:rPr>
                <w:rFonts w:cstheme="minorHAnsi"/>
                <w:sz w:val="20"/>
                <w:szCs w:val="20"/>
                <w:lang w:val="pl-PL"/>
              </w:rPr>
            </w:pPr>
            <w:proofErr w:type="spellStart"/>
            <w:r>
              <w:rPr>
                <w:rFonts w:cstheme="minorHAnsi"/>
                <w:sz w:val="20"/>
                <w:szCs w:val="20"/>
              </w:rPr>
              <w:t>Bateria</w:t>
            </w:r>
            <w:proofErr w:type="spellEnd"/>
            <w:r>
              <w:rPr>
                <w:rFonts w:cstheme="minorHAnsi"/>
                <w:sz w:val="20"/>
                <w:szCs w:val="20"/>
              </w:rPr>
              <w:t xml:space="preserve"> Lithium-ion min. 54Wh. </w:t>
            </w:r>
            <w:r>
              <w:rPr>
                <w:rFonts w:cstheme="minorHAnsi"/>
                <w:sz w:val="20"/>
                <w:szCs w:val="20"/>
                <w:lang w:val="pl-PL"/>
              </w:rPr>
              <w:t>Umożliwiająca jej szybkie naładowanie do poziomu 80% w czasie 1 godziny.</w:t>
            </w:r>
          </w:p>
          <w:p w14:paraId="29B1F1C7" w14:textId="77777777" w:rsidR="00B76CB0" w:rsidRDefault="00B76CB0">
            <w:pPr>
              <w:spacing w:after="0" w:line="240" w:lineRule="auto"/>
              <w:jc w:val="both"/>
              <w:rPr>
                <w:rFonts w:cstheme="minorHAnsi"/>
                <w:sz w:val="20"/>
                <w:szCs w:val="20"/>
                <w:lang w:val="pl-PL"/>
              </w:rPr>
            </w:pPr>
            <w:r>
              <w:rPr>
                <w:rFonts w:cstheme="minorHAnsi"/>
                <w:sz w:val="20"/>
                <w:szCs w:val="20"/>
                <w:lang w:val="pl-PL"/>
              </w:rPr>
              <w:t>Zasilacz o mocy min. 65W adapter 4.5mm</w:t>
            </w:r>
          </w:p>
        </w:tc>
      </w:tr>
      <w:tr w:rsidR="00B76CB0" w:rsidRPr="00B76CB0" w14:paraId="28681DDB"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7364EB" w14:textId="77777777" w:rsidR="00B76CB0" w:rsidRDefault="00B76CB0">
            <w:pPr>
              <w:spacing w:after="0" w:line="240" w:lineRule="auto"/>
              <w:rPr>
                <w:rFonts w:cstheme="minorHAnsi"/>
                <w:sz w:val="20"/>
                <w:szCs w:val="20"/>
                <w:lang w:val="pl-PL"/>
              </w:rPr>
            </w:pPr>
            <w:r>
              <w:rPr>
                <w:rFonts w:cstheme="minorHAnsi"/>
                <w:sz w:val="20"/>
                <w:szCs w:val="20"/>
                <w:lang w:val="pl-PL"/>
              </w:rPr>
              <w:t xml:space="preserve">Waga </w:t>
            </w:r>
          </w:p>
        </w:tc>
        <w:tc>
          <w:tcPr>
            <w:tcW w:w="7134" w:type="dxa"/>
            <w:tcBorders>
              <w:top w:val="single" w:sz="4" w:space="0" w:color="auto"/>
              <w:left w:val="single" w:sz="4" w:space="0" w:color="auto"/>
              <w:bottom w:val="single" w:sz="4" w:space="0" w:color="auto"/>
              <w:right w:val="single" w:sz="4" w:space="0" w:color="auto"/>
            </w:tcBorders>
            <w:hideMark/>
          </w:tcPr>
          <w:p w14:paraId="03F3509C" w14:textId="77777777" w:rsidR="00B76CB0" w:rsidRPr="00B76CB0" w:rsidRDefault="00B76CB0">
            <w:pPr>
              <w:spacing w:after="0" w:line="240" w:lineRule="auto"/>
              <w:jc w:val="both"/>
              <w:rPr>
                <w:rFonts w:cstheme="minorHAnsi"/>
                <w:sz w:val="20"/>
                <w:szCs w:val="20"/>
                <w:lang w:val="pl-PL"/>
              </w:rPr>
            </w:pPr>
            <w:r>
              <w:rPr>
                <w:rFonts w:cstheme="minorHAnsi"/>
                <w:sz w:val="20"/>
                <w:szCs w:val="20"/>
                <w:lang w:val="pl-PL"/>
              </w:rPr>
              <w:t>Waga max 1,9 kg z baterią</w:t>
            </w:r>
          </w:p>
        </w:tc>
      </w:tr>
      <w:tr w:rsidR="00B76CB0" w:rsidRPr="00B76CB0" w14:paraId="7ABB4F4F"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4E2257" w14:textId="77777777" w:rsidR="00B76CB0" w:rsidRDefault="00B76CB0">
            <w:pPr>
              <w:spacing w:after="0" w:line="240" w:lineRule="auto"/>
              <w:rPr>
                <w:rFonts w:cstheme="minorHAnsi"/>
                <w:sz w:val="20"/>
                <w:szCs w:val="20"/>
                <w:lang w:val="pl-PL"/>
              </w:rPr>
            </w:pPr>
            <w:r>
              <w:rPr>
                <w:rFonts w:cstheme="minorHAnsi"/>
                <w:sz w:val="20"/>
                <w:szCs w:val="20"/>
                <w:lang w:val="pl-PL"/>
              </w:rPr>
              <w:t>Obudowa</w:t>
            </w:r>
          </w:p>
        </w:tc>
        <w:tc>
          <w:tcPr>
            <w:tcW w:w="7134" w:type="dxa"/>
            <w:tcBorders>
              <w:top w:val="single" w:sz="4" w:space="0" w:color="auto"/>
              <w:left w:val="single" w:sz="4" w:space="0" w:color="auto"/>
              <w:bottom w:val="single" w:sz="4" w:space="0" w:color="auto"/>
              <w:right w:val="single" w:sz="4" w:space="0" w:color="auto"/>
            </w:tcBorders>
            <w:hideMark/>
          </w:tcPr>
          <w:p w14:paraId="79883DE4"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Szkielet obudowy i zawiasy notebooka wzmacniane, dookoła matrycy uszczelnienie chroniące klawiaturę notebooka  po zamknięciu przed kurzem i wilgocią. </w:t>
            </w:r>
          </w:p>
        </w:tc>
      </w:tr>
      <w:tr w:rsidR="00B76CB0" w:rsidRPr="00B76CB0" w14:paraId="684F42ED"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DE70B9" w14:textId="77777777" w:rsidR="00B76CB0" w:rsidRDefault="00B76CB0">
            <w:pPr>
              <w:spacing w:after="0" w:line="240" w:lineRule="auto"/>
              <w:rPr>
                <w:rFonts w:cstheme="minorHAnsi"/>
                <w:sz w:val="20"/>
                <w:szCs w:val="20"/>
                <w:lang w:val="pl-PL"/>
              </w:rPr>
            </w:pPr>
            <w:r>
              <w:rPr>
                <w:rFonts w:cstheme="minorHAnsi"/>
                <w:sz w:val="20"/>
                <w:szCs w:val="20"/>
                <w:lang w:val="pl-PL"/>
              </w:rPr>
              <w:t>BIOS</w:t>
            </w:r>
          </w:p>
        </w:tc>
        <w:tc>
          <w:tcPr>
            <w:tcW w:w="7134" w:type="dxa"/>
            <w:tcBorders>
              <w:top w:val="single" w:sz="4" w:space="0" w:color="auto"/>
              <w:left w:val="single" w:sz="4" w:space="0" w:color="auto"/>
              <w:bottom w:val="single" w:sz="4" w:space="0" w:color="auto"/>
              <w:right w:val="single" w:sz="4" w:space="0" w:color="auto"/>
            </w:tcBorders>
            <w:hideMark/>
          </w:tcPr>
          <w:p w14:paraId="3697601E" w14:textId="77777777" w:rsidR="00B76CB0" w:rsidRDefault="00B76CB0">
            <w:pPr>
              <w:tabs>
                <w:tab w:val="num" w:pos="283"/>
              </w:tabs>
              <w:spacing w:after="0" w:line="240" w:lineRule="auto"/>
              <w:jc w:val="both"/>
              <w:rPr>
                <w:rFonts w:cstheme="minorHAnsi"/>
                <w:sz w:val="20"/>
                <w:szCs w:val="20"/>
                <w:lang w:val="pl-PL"/>
              </w:rPr>
            </w:pPr>
            <w:r>
              <w:rPr>
                <w:rFonts w:cstheme="minorHAnsi"/>
                <w:sz w:val="20"/>
                <w:szCs w:val="20"/>
                <w:lang w:val="pl-PL"/>
              </w:rPr>
              <w:t xml:space="preserve">BIOS producenta oferowanego komputera zgodny ze specyfikacją UEFI, wymagana pełna obsługa za pomocą klawiatury i urządzenia wskazującego (wmontowanego na stałe) oraz samego urządzenia wskazującego. Możliwość, bez uruchamiania systemu operacyjnego z dysku twardego komputera lub innych, podłączonych do niego urządzeń zewnętrznych odczytania z BIOS informacji, oraz posiadać: datę produkcji komputera (data produkcji nieusuwalna), o kontrolerze audio, procesorze, a w szczególności min. i max. osiągana prędkość, pamięci RAM z informacją o taktowaniu i obsadzeniu w slotach. Niezmazywalne (nieedytowalne) pole </w:t>
            </w:r>
            <w:proofErr w:type="spellStart"/>
            <w:r>
              <w:rPr>
                <w:rFonts w:cstheme="minorHAnsi"/>
                <w:sz w:val="20"/>
                <w:szCs w:val="20"/>
                <w:lang w:val="pl-PL"/>
              </w:rPr>
              <w:t>asset</w:t>
            </w:r>
            <w:proofErr w:type="spellEnd"/>
            <w:r>
              <w:rPr>
                <w:rFonts w:cstheme="minorHAnsi"/>
                <w:sz w:val="20"/>
                <w:szCs w:val="20"/>
                <w:lang w:val="pl-PL"/>
              </w:rPr>
              <w:t xml:space="preserve"> </w:t>
            </w:r>
            <w:proofErr w:type="spellStart"/>
            <w:r>
              <w:rPr>
                <w:rFonts w:cstheme="minorHAnsi"/>
                <w:sz w:val="20"/>
                <w:szCs w:val="20"/>
                <w:lang w:val="pl-PL"/>
              </w:rPr>
              <w:t>tag</w:t>
            </w:r>
            <w:proofErr w:type="spellEnd"/>
            <w:r>
              <w:rPr>
                <w:rFonts w:cstheme="minorHAnsi"/>
                <w:sz w:val="20"/>
                <w:szCs w:val="20"/>
                <w:lang w:val="pl-PL"/>
              </w:rPr>
              <w:t xml:space="preserve">. Możliwość ustawienia hasła dla administratora, możliwość ustawienia hasła systemowego/użytkownika które jednocześnie będzie blokować uruchamianie systemu z jakichkolwiek urządzeń oraz umożliwia zalogowanie się do BIOS w celu zmiany swojego hasła, możliwość ustawienia hasła dla dysku </w:t>
            </w:r>
            <w:proofErr w:type="spellStart"/>
            <w:r>
              <w:rPr>
                <w:rFonts w:cstheme="minorHAnsi"/>
                <w:sz w:val="20"/>
                <w:szCs w:val="20"/>
                <w:lang w:val="pl-PL"/>
              </w:rPr>
              <w:t>NVMe</w:t>
            </w:r>
            <w:proofErr w:type="spellEnd"/>
            <w:r>
              <w:rPr>
                <w:rFonts w:cstheme="minorHAnsi"/>
                <w:sz w:val="20"/>
                <w:szCs w:val="20"/>
                <w:lang w:val="pl-PL"/>
              </w:rPr>
              <w:t>, możliwość konfiguracji zależności między tymi hasłami, hasła muszą umożliwiać zawarcia w sobie znaków specjalnych, liczb i liter, Możliwość odczytania informacji o stanie naładowania baterii (stanu użycia), podpiętego zasilacza, zarządzanie trybem ładowania baterii (np. określenie docelowego poziomu naładowania). Możliwość nadania numeru inwentarzowego z poziomu BIOS bez wykorzystania dodatkowego oprogramowania, jak i konieczności aktualizacji BIOS , po nadaniu numeru pole nie może być edytowalne.</w:t>
            </w:r>
          </w:p>
        </w:tc>
      </w:tr>
      <w:tr w:rsidR="00B76CB0" w:rsidRPr="00B76CB0" w14:paraId="5EC60573"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C76ABE" w14:textId="77777777" w:rsidR="00B76CB0" w:rsidRDefault="00B76CB0">
            <w:pPr>
              <w:spacing w:after="0" w:line="240" w:lineRule="auto"/>
              <w:rPr>
                <w:rFonts w:cstheme="minorHAnsi"/>
                <w:sz w:val="20"/>
                <w:szCs w:val="20"/>
                <w:lang w:val="pl-PL"/>
              </w:rPr>
            </w:pPr>
            <w:r>
              <w:rPr>
                <w:rFonts w:cstheme="minorHAnsi"/>
                <w:sz w:val="20"/>
                <w:szCs w:val="20"/>
                <w:lang w:val="pl-PL"/>
              </w:rPr>
              <w:t>Certyfikaty</w:t>
            </w:r>
          </w:p>
        </w:tc>
        <w:tc>
          <w:tcPr>
            <w:tcW w:w="7134" w:type="dxa"/>
            <w:tcBorders>
              <w:top w:val="single" w:sz="4" w:space="0" w:color="auto"/>
              <w:left w:val="single" w:sz="4" w:space="0" w:color="auto"/>
              <w:bottom w:val="single" w:sz="4" w:space="0" w:color="auto"/>
              <w:right w:val="single" w:sz="4" w:space="0" w:color="auto"/>
            </w:tcBorders>
            <w:hideMark/>
          </w:tcPr>
          <w:p w14:paraId="5456E366" w14:textId="77777777" w:rsidR="00B76CB0" w:rsidRDefault="00B76CB0">
            <w:pPr>
              <w:spacing w:after="0" w:line="240" w:lineRule="auto"/>
              <w:jc w:val="both"/>
              <w:rPr>
                <w:rFonts w:cstheme="minorHAnsi"/>
                <w:sz w:val="20"/>
                <w:szCs w:val="20"/>
                <w:lang w:val="pl-PL"/>
              </w:rPr>
            </w:pPr>
            <w:r>
              <w:rPr>
                <w:rFonts w:cstheme="minorHAnsi"/>
                <w:sz w:val="20"/>
                <w:szCs w:val="20"/>
                <w:lang w:val="pl-PL"/>
              </w:rPr>
              <w:t>Certyfikat ISO 9001 dla producenta sprzętu (należy załączyć do oferty)</w:t>
            </w:r>
          </w:p>
          <w:p w14:paraId="245E9ADF" w14:textId="77777777" w:rsidR="00B76CB0" w:rsidRDefault="00B76CB0">
            <w:pPr>
              <w:spacing w:after="0" w:line="240" w:lineRule="auto"/>
              <w:jc w:val="both"/>
              <w:rPr>
                <w:rFonts w:cstheme="minorHAnsi"/>
                <w:sz w:val="20"/>
                <w:szCs w:val="20"/>
                <w:lang w:val="pl-PL"/>
              </w:rPr>
            </w:pPr>
            <w:r>
              <w:rPr>
                <w:rFonts w:cstheme="minorHAnsi"/>
                <w:sz w:val="20"/>
                <w:szCs w:val="20"/>
                <w:lang w:val="pl-PL"/>
              </w:rPr>
              <w:t>Certyfikat ISO 14001 dla producenta sprzętu (należy załączyć do oferty)</w:t>
            </w:r>
          </w:p>
          <w:p w14:paraId="5C68162E" w14:textId="77777777" w:rsidR="00B76CB0" w:rsidRDefault="00B76CB0">
            <w:pPr>
              <w:spacing w:after="0" w:line="240" w:lineRule="auto"/>
              <w:jc w:val="both"/>
              <w:rPr>
                <w:rFonts w:cstheme="minorHAnsi"/>
                <w:sz w:val="20"/>
                <w:szCs w:val="20"/>
                <w:lang w:val="pl-PL"/>
              </w:rPr>
            </w:pPr>
            <w:r>
              <w:rPr>
                <w:rFonts w:cstheme="minorHAnsi"/>
                <w:sz w:val="20"/>
                <w:szCs w:val="20"/>
                <w:lang w:val="pl-PL"/>
              </w:rPr>
              <w:t>Deklaracja zgodności CE (załączyć do oferty)</w:t>
            </w:r>
          </w:p>
          <w:p w14:paraId="2027D341" w14:textId="77777777" w:rsidR="00B76CB0" w:rsidRDefault="00B76CB0">
            <w:pPr>
              <w:spacing w:after="0" w:line="240" w:lineRule="auto"/>
              <w:jc w:val="both"/>
              <w:rPr>
                <w:rFonts w:cstheme="minorHAnsi"/>
                <w:sz w:val="20"/>
                <w:szCs w:val="20"/>
                <w:lang w:val="pl-PL"/>
              </w:rPr>
            </w:pPr>
            <w:r>
              <w:rPr>
                <w:rFonts w:cstheme="minorHAnsi"/>
                <w:sz w:val="20"/>
                <w:szCs w:val="20"/>
                <w:lang w:val="pl-PL"/>
              </w:rPr>
              <w:t>Certyfikat ISO 50001(należy załączyć do oferty)</w:t>
            </w:r>
          </w:p>
          <w:p w14:paraId="32E037B6" w14:textId="77777777" w:rsidR="00B76CB0" w:rsidRDefault="00B76CB0">
            <w:pPr>
              <w:spacing w:after="0" w:line="240" w:lineRule="auto"/>
              <w:jc w:val="both"/>
              <w:rPr>
                <w:rFonts w:cstheme="minorHAnsi"/>
                <w:sz w:val="20"/>
                <w:szCs w:val="20"/>
                <w:lang w:val="pl-PL"/>
              </w:rPr>
            </w:pPr>
            <w:r>
              <w:rPr>
                <w:rFonts w:cstheme="minorHAnsi"/>
                <w:sz w:val="20"/>
                <w:szCs w:val="20"/>
                <w:lang w:val="pl-PL"/>
              </w:rPr>
              <w:lastRenderedPageBreak/>
              <w:t xml:space="preserve">Potwierdzenie spełnienia kryteriów środowiskowych, w tym zgodności z dyrektywą </w:t>
            </w:r>
            <w:proofErr w:type="spellStart"/>
            <w:r>
              <w:rPr>
                <w:rFonts w:cstheme="minorHAnsi"/>
                <w:sz w:val="20"/>
                <w:szCs w:val="20"/>
                <w:lang w:val="pl-PL"/>
              </w:rPr>
              <w:t>RoHS</w:t>
            </w:r>
            <w:proofErr w:type="spellEnd"/>
            <w:r>
              <w:rPr>
                <w:rFonts w:cstheme="minorHAnsi"/>
                <w:sz w:val="20"/>
                <w:szCs w:val="20"/>
                <w:lang w:val="pl-PL"/>
              </w:rPr>
              <w:t xml:space="preserve"> Unii Europejskiej o eliminacji substancji niebezpiecznych w postaci oświadczenia producenta jednostki</w:t>
            </w:r>
          </w:p>
        </w:tc>
      </w:tr>
      <w:tr w:rsidR="00B76CB0" w:rsidRPr="00B76CB0" w14:paraId="767C4057"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BFFCA" w14:textId="77777777" w:rsidR="00B76CB0" w:rsidRDefault="00B76CB0">
            <w:pPr>
              <w:spacing w:after="0" w:line="240" w:lineRule="auto"/>
              <w:rPr>
                <w:rFonts w:cstheme="minorHAnsi"/>
                <w:sz w:val="20"/>
                <w:szCs w:val="20"/>
              </w:rPr>
            </w:pPr>
            <w:proofErr w:type="spellStart"/>
            <w:r>
              <w:rPr>
                <w:rFonts w:cstheme="minorHAnsi"/>
                <w:sz w:val="20"/>
                <w:szCs w:val="20"/>
              </w:rPr>
              <w:lastRenderedPageBreak/>
              <w:t>Diagnostyka</w:t>
            </w:r>
            <w:proofErr w:type="spellEnd"/>
          </w:p>
        </w:tc>
        <w:tc>
          <w:tcPr>
            <w:tcW w:w="7134" w:type="dxa"/>
            <w:tcBorders>
              <w:top w:val="single" w:sz="4" w:space="0" w:color="auto"/>
              <w:left w:val="single" w:sz="4" w:space="0" w:color="auto"/>
              <w:bottom w:val="single" w:sz="4" w:space="0" w:color="auto"/>
              <w:right w:val="single" w:sz="4" w:space="0" w:color="auto"/>
            </w:tcBorders>
            <w:hideMark/>
          </w:tcPr>
          <w:p w14:paraId="4620E19E"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System diagnostyczny z graficznym interfejsem użytkownika dostępny z poziomu BIOS lub z poziomu menu </w:t>
            </w:r>
            <w:proofErr w:type="spellStart"/>
            <w:r>
              <w:rPr>
                <w:rFonts w:cstheme="minorHAnsi"/>
                <w:sz w:val="20"/>
                <w:szCs w:val="20"/>
                <w:lang w:val="pl-PL"/>
              </w:rPr>
              <w:t>boot</w:t>
            </w:r>
            <w:proofErr w:type="spellEnd"/>
            <w:r>
              <w:rPr>
                <w:rFonts w:cstheme="minorHAnsi"/>
                <w:sz w:val="20"/>
                <w:szCs w:val="20"/>
                <w:lang w:val="pl-PL"/>
              </w:rPr>
              <w:t xml:space="preserve">, umożliwiający przetestowanie komponentów komputera. Pełna funkcjonalność systemu diagnostycznego musi być realizowana bez użycia: dostępu do sieci i </w:t>
            </w:r>
            <w:proofErr w:type="spellStart"/>
            <w:r>
              <w:rPr>
                <w:rFonts w:cstheme="minorHAnsi"/>
                <w:sz w:val="20"/>
                <w:szCs w:val="20"/>
                <w:lang w:val="pl-PL"/>
              </w:rPr>
              <w:t>internetu</w:t>
            </w:r>
            <w:proofErr w:type="spellEnd"/>
            <w:r>
              <w:rPr>
                <w:rFonts w:cstheme="minorHAnsi"/>
                <w:sz w:val="20"/>
                <w:szCs w:val="20"/>
                <w:lang w:val="pl-PL"/>
              </w:rPr>
              <w:t xml:space="preserve">, dysku twardego również w przypadku jego braku, urządzeń zewnętrznych i wewnętrznych typu : pamięć </w:t>
            </w:r>
            <w:proofErr w:type="spellStart"/>
            <w:r>
              <w:rPr>
                <w:rFonts w:cstheme="minorHAnsi"/>
                <w:sz w:val="20"/>
                <w:szCs w:val="20"/>
                <w:lang w:val="pl-PL"/>
              </w:rPr>
              <w:t>flash</w:t>
            </w:r>
            <w:proofErr w:type="spellEnd"/>
            <w:r>
              <w:rPr>
                <w:rFonts w:cstheme="minorHAnsi"/>
                <w:sz w:val="20"/>
                <w:szCs w:val="20"/>
                <w:lang w:val="pl-PL"/>
              </w:rPr>
              <w:t xml:space="preserve">, </w:t>
            </w:r>
            <w:proofErr w:type="spellStart"/>
            <w:r>
              <w:rPr>
                <w:rFonts w:cstheme="minorHAnsi"/>
                <w:sz w:val="20"/>
                <w:szCs w:val="20"/>
                <w:lang w:val="pl-PL"/>
              </w:rPr>
              <w:t>USBpen</w:t>
            </w:r>
            <w:proofErr w:type="spellEnd"/>
            <w:r>
              <w:rPr>
                <w:rFonts w:cstheme="minorHAnsi"/>
                <w:sz w:val="20"/>
                <w:szCs w:val="20"/>
                <w:lang w:val="pl-PL"/>
              </w:rPr>
              <w:t xml:space="preserve"> itp.</w:t>
            </w:r>
          </w:p>
        </w:tc>
      </w:tr>
      <w:tr w:rsidR="00B76CB0" w14:paraId="3D3DA418"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D308F" w14:textId="77777777" w:rsidR="00B76CB0" w:rsidRDefault="00B76CB0">
            <w:pPr>
              <w:spacing w:after="0" w:line="240" w:lineRule="auto"/>
              <w:rPr>
                <w:rFonts w:cstheme="minorHAnsi"/>
                <w:sz w:val="20"/>
                <w:szCs w:val="20"/>
                <w:lang w:val="pl-PL"/>
              </w:rPr>
            </w:pPr>
            <w:r>
              <w:rPr>
                <w:rFonts w:cstheme="minorHAnsi"/>
                <w:sz w:val="20"/>
                <w:szCs w:val="20"/>
                <w:lang w:val="pl-PL"/>
              </w:rPr>
              <w:t>Bezpieczeństwo</w:t>
            </w:r>
          </w:p>
        </w:tc>
        <w:tc>
          <w:tcPr>
            <w:tcW w:w="7134" w:type="dxa"/>
            <w:tcBorders>
              <w:top w:val="single" w:sz="4" w:space="0" w:color="auto"/>
              <w:left w:val="single" w:sz="4" w:space="0" w:color="auto"/>
              <w:bottom w:val="single" w:sz="4" w:space="0" w:color="auto"/>
              <w:right w:val="single" w:sz="4" w:space="0" w:color="auto"/>
            </w:tcBorders>
            <w:hideMark/>
          </w:tcPr>
          <w:p w14:paraId="4FFCA79A" w14:textId="77777777" w:rsidR="00B76CB0" w:rsidRDefault="00B76CB0">
            <w:pPr>
              <w:spacing w:after="0" w:line="240" w:lineRule="auto"/>
              <w:jc w:val="both"/>
              <w:rPr>
                <w:rFonts w:cstheme="minorHAnsi"/>
                <w:sz w:val="20"/>
                <w:szCs w:val="20"/>
                <w:lang w:val="pl-PL"/>
              </w:rPr>
            </w:pPr>
            <w:r>
              <w:rPr>
                <w:rFonts w:cstheme="minorHAnsi"/>
                <w:sz w:val="20"/>
                <w:szCs w:val="20"/>
                <w:lang w:val="pl-PL"/>
              </w:rPr>
              <w:t>Zintegrowany z płytą główną dedykowany układ sprzętowy służący do tworzenia i zarządzania wygenerowanymi przez komputer kluczami szyfrowania. Próba usunięcia układu powoduje uszkodzenie płyty głównej. Zabezpieczenie to musi posiadać możliwość szyfrowania poufnych dokumentów przechowywanych na dysku twardym przy użyciu klucza sprzętowego. Weryfikacja wygenerowanych przez komputer kluczy szyfrowania musi odbywać się w dedykowanym chipsecie na płycie głównej.</w:t>
            </w:r>
          </w:p>
          <w:p w14:paraId="2AB6ADFE"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Wbudowany </w:t>
            </w:r>
            <w:r>
              <w:rPr>
                <w:rFonts w:cstheme="minorHAnsi"/>
                <w:sz w:val="20"/>
                <w:szCs w:val="20"/>
              </w:rPr>
              <w:t>c</w:t>
            </w:r>
            <w:proofErr w:type="spellStart"/>
            <w:r>
              <w:rPr>
                <w:rFonts w:cstheme="minorHAnsi"/>
                <w:sz w:val="20"/>
                <w:szCs w:val="20"/>
                <w:lang w:val="pl-PL"/>
              </w:rPr>
              <w:t>zytnik</w:t>
            </w:r>
            <w:proofErr w:type="spellEnd"/>
            <w:r>
              <w:rPr>
                <w:rFonts w:cstheme="minorHAnsi"/>
                <w:sz w:val="20"/>
                <w:szCs w:val="20"/>
                <w:lang w:val="pl-PL"/>
              </w:rPr>
              <w:t xml:space="preserve"> linii papilarnych </w:t>
            </w:r>
          </w:p>
        </w:tc>
      </w:tr>
      <w:tr w:rsidR="00B76CB0" w:rsidRPr="00B76CB0" w14:paraId="204DFF3A" w14:textId="77777777" w:rsidTr="00B76CB0">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CF6C1" w14:textId="77777777" w:rsidR="00B76CB0" w:rsidRDefault="00B76CB0">
            <w:pPr>
              <w:spacing w:after="0" w:line="240" w:lineRule="auto"/>
              <w:rPr>
                <w:rFonts w:cstheme="minorHAnsi"/>
                <w:sz w:val="20"/>
                <w:szCs w:val="20"/>
              </w:rPr>
            </w:pPr>
            <w:r>
              <w:rPr>
                <w:rFonts w:cstheme="minorHAnsi"/>
                <w:sz w:val="20"/>
                <w:szCs w:val="20"/>
              </w:rPr>
              <w:t xml:space="preserve">System </w:t>
            </w:r>
            <w:proofErr w:type="spellStart"/>
            <w:r>
              <w:rPr>
                <w:rFonts w:cstheme="minorHAnsi"/>
                <w:sz w:val="20"/>
                <w:szCs w:val="20"/>
              </w:rPr>
              <w:t>operacyjny</w:t>
            </w:r>
            <w:proofErr w:type="spellEnd"/>
          </w:p>
        </w:tc>
        <w:tc>
          <w:tcPr>
            <w:tcW w:w="7134" w:type="dxa"/>
            <w:tcBorders>
              <w:top w:val="single" w:sz="4" w:space="0" w:color="auto"/>
              <w:left w:val="single" w:sz="4" w:space="0" w:color="auto"/>
              <w:bottom w:val="single" w:sz="4" w:space="0" w:color="auto"/>
              <w:right w:val="single" w:sz="4" w:space="0" w:color="auto"/>
            </w:tcBorders>
            <w:hideMark/>
          </w:tcPr>
          <w:p w14:paraId="5222E8E8" w14:textId="77777777" w:rsidR="00B76CB0" w:rsidRDefault="00B76CB0">
            <w:pPr>
              <w:spacing w:after="0" w:line="240" w:lineRule="auto"/>
              <w:jc w:val="both"/>
              <w:rPr>
                <w:rFonts w:cstheme="minorHAnsi"/>
                <w:sz w:val="20"/>
                <w:szCs w:val="20"/>
                <w:lang w:val="pl-PL"/>
              </w:rPr>
            </w:pPr>
            <w:r>
              <w:rPr>
                <w:rFonts w:cstheme="minorHAnsi"/>
                <w:sz w:val="20"/>
                <w:szCs w:val="20"/>
                <w:bdr w:val="none" w:sz="0" w:space="0" w:color="auto" w:frame="1"/>
                <w:lang w:val="pl-PL"/>
              </w:rPr>
              <w:t xml:space="preserve">Zainstalowany system operacyjny Windows 11 Professional, klucz licencyjny zapisany trwale w BIOS, umożliwiać instalację systemu operacyjnego bez potrzeby ręcznego wpisywania klucza licencyjnego. </w:t>
            </w:r>
          </w:p>
        </w:tc>
      </w:tr>
      <w:tr w:rsidR="00B76CB0" w:rsidRPr="00B76CB0" w14:paraId="64C372B5" w14:textId="77777777" w:rsidTr="00B76CB0">
        <w:trPr>
          <w:trHeight w:val="699"/>
        </w:trPr>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50512" w14:textId="77777777" w:rsidR="00B76CB0" w:rsidRDefault="00B76CB0">
            <w:pPr>
              <w:spacing w:after="0" w:line="240" w:lineRule="auto"/>
              <w:rPr>
                <w:rFonts w:cstheme="minorHAnsi"/>
                <w:sz w:val="20"/>
                <w:szCs w:val="20"/>
              </w:rPr>
            </w:pPr>
            <w:proofErr w:type="spellStart"/>
            <w:r>
              <w:rPr>
                <w:rFonts w:cstheme="minorHAnsi"/>
                <w:sz w:val="20"/>
                <w:szCs w:val="20"/>
              </w:rPr>
              <w:t>Pozostałe</w:t>
            </w:r>
            <w:proofErr w:type="spellEnd"/>
            <w:r>
              <w:rPr>
                <w:rFonts w:cstheme="minorHAnsi"/>
                <w:sz w:val="20"/>
                <w:szCs w:val="20"/>
              </w:rPr>
              <w:t xml:space="preserve"> </w:t>
            </w:r>
            <w:proofErr w:type="spellStart"/>
            <w:r>
              <w:rPr>
                <w:rFonts w:cstheme="minorHAnsi"/>
                <w:sz w:val="20"/>
                <w:szCs w:val="20"/>
              </w:rPr>
              <w:t>wymagania</w:t>
            </w:r>
            <w:proofErr w:type="spellEnd"/>
          </w:p>
        </w:tc>
        <w:tc>
          <w:tcPr>
            <w:tcW w:w="7134" w:type="dxa"/>
            <w:tcBorders>
              <w:top w:val="single" w:sz="4" w:space="0" w:color="auto"/>
              <w:left w:val="single" w:sz="4" w:space="0" w:color="auto"/>
              <w:bottom w:val="single" w:sz="4" w:space="0" w:color="auto"/>
              <w:right w:val="single" w:sz="4" w:space="0" w:color="auto"/>
            </w:tcBorders>
            <w:hideMark/>
          </w:tcPr>
          <w:p w14:paraId="51E07BCC" w14:textId="77777777" w:rsidR="00B76CB0" w:rsidRDefault="00B76CB0">
            <w:pPr>
              <w:spacing w:after="0" w:line="240" w:lineRule="auto"/>
              <w:jc w:val="both"/>
              <w:rPr>
                <w:rFonts w:cstheme="minorHAnsi"/>
                <w:sz w:val="20"/>
                <w:szCs w:val="20"/>
                <w:lang w:val="pl-PL"/>
              </w:rPr>
            </w:pPr>
            <w:r>
              <w:rPr>
                <w:rFonts w:cstheme="minorHAnsi"/>
                <w:sz w:val="20"/>
                <w:szCs w:val="20"/>
                <w:lang w:val="pl-PL"/>
              </w:rPr>
              <w:t>Wbudowane porty i złącza: 1x HDMI 1.4, 1x RJ-45, 3x USB 3.2 typ A (w tym jeden zasilaniem), 1x USB 3.2 TYP-C z obsługą DP 1.2 i zasilaniem, port zasilania (nie zajmujący portów USB typ C), złącze linki zabezpieczającej.</w:t>
            </w:r>
          </w:p>
          <w:p w14:paraId="2BFA2F7B"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Klawiatura z wbudowanym podświetleniem (układ US – QWERTY) min 98 klawiszy. Wszystkie klawisze funkcyjne typu: regulacja głośności, </w:t>
            </w:r>
            <w:proofErr w:type="spellStart"/>
            <w:r>
              <w:rPr>
                <w:rFonts w:cstheme="minorHAnsi"/>
                <w:sz w:val="20"/>
                <w:szCs w:val="20"/>
                <w:lang w:val="pl-PL"/>
              </w:rPr>
              <w:t>print</w:t>
            </w:r>
            <w:proofErr w:type="spellEnd"/>
            <w:r>
              <w:rPr>
                <w:rFonts w:cstheme="minorHAnsi"/>
                <w:sz w:val="20"/>
                <w:szCs w:val="20"/>
                <w:lang w:val="pl-PL"/>
              </w:rPr>
              <w:t xml:space="preserve"> </w:t>
            </w:r>
            <w:proofErr w:type="spellStart"/>
            <w:r>
              <w:rPr>
                <w:rFonts w:cstheme="minorHAnsi"/>
                <w:sz w:val="20"/>
                <w:szCs w:val="20"/>
                <w:lang w:val="pl-PL"/>
              </w:rPr>
              <w:t>screen</w:t>
            </w:r>
            <w:proofErr w:type="spellEnd"/>
            <w:r>
              <w:rPr>
                <w:rFonts w:cstheme="minorHAnsi"/>
                <w:sz w:val="20"/>
                <w:szCs w:val="20"/>
                <w:lang w:val="pl-PL"/>
              </w:rPr>
              <w:t xml:space="preserve"> dostępne w ciągu klawiszy F1-F12. Nie dopuszcza się innego układu a w szczególności między klawiszami ALT i CTRL (oprócz klawisza FN i Windows z lewej strony)</w:t>
            </w:r>
          </w:p>
          <w:p w14:paraId="37FC4A84" w14:textId="77777777" w:rsidR="00B76CB0" w:rsidRDefault="00B76CB0">
            <w:pPr>
              <w:spacing w:after="0" w:line="240" w:lineRule="auto"/>
              <w:jc w:val="both"/>
              <w:rPr>
                <w:rFonts w:cstheme="minorHAnsi"/>
                <w:sz w:val="20"/>
                <w:szCs w:val="20"/>
                <w:lang w:val="pl-PL"/>
              </w:rPr>
            </w:pPr>
            <w:r>
              <w:rPr>
                <w:rFonts w:cstheme="minorHAnsi"/>
                <w:sz w:val="20"/>
                <w:szCs w:val="20"/>
                <w:lang w:val="pl-PL"/>
              </w:rPr>
              <w:t>Dedykowane klawisze do : wyciszenia głośników, wyciszenia mikrofonów, regulacja głośności, regulacja podświetlenia klawiatury, regulacja jasności ekranu</w:t>
            </w:r>
          </w:p>
        </w:tc>
      </w:tr>
      <w:tr w:rsidR="00B76CB0" w:rsidRPr="00B76CB0" w14:paraId="3D0D1A68" w14:textId="77777777" w:rsidTr="00B76CB0">
        <w:trPr>
          <w:trHeight w:val="620"/>
        </w:trPr>
        <w:tc>
          <w:tcPr>
            <w:tcW w:w="2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471E8" w14:textId="77777777" w:rsidR="00B76CB0" w:rsidRDefault="00B76CB0">
            <w:pPr>
              <w:spacing w:after="0" w:line="240" w:lineRule="auto"/>
              <w:rPr>
                <w:rFonts w:cstheme="minorHAnsi"/>
                <w:sz w:val="20"/>
                <w:szCs w:val="20"/>
                <w:lang w:val="pl-PL"/>
              </w:rPr>
            </w:pPr>
            <w:r>
              <w:rPr>
                <w:rFonts w:cstheme="minorHAnsi"/>
                <w:sz w:val="20"/>
                <w:szCs w:val="20"/>
                <w:lang w:val="pl-PL"/>
              </w:rPr>
              <w:t>Warunki gwarancyjne, wsparcie techniczne</w:t>
            </w:r>
          </w:p>
        </w:tc>
        <w:tc>
          <w:tcPr>
            <w:tcW w:w="7134" w:type="dxa"/>
            <w:tcBorders>
              <w:top w:val="single" w:sz="4" w:space="0" w:color="auto"/>
              <w:left w:val="single" w:sz="4" w:space="0" w:color="auto"/>
              <w:bottom w:val="single" w:sz="4" w:space="0" w:color="auto"/>
              <w:right w:val="single" w:sz="4" w:space="0" w:color="auto"/>
            </w:tcBorders>
            <w:hideMark/>
          </w:tcPr>
          <w:p w14:paraId="60629730" w14:textId="77777777" w:rsidR="00B76CB0" w:rsidRDefault="00B76CB0">
            <w:pPr>
              <w:spacing w:after="0" w:line="240" w:lineRule="auto"/>
              <w:jc w:val="both"/>
              <w:rPr>
                <w:rFonts w:cstheme="minorHAnsi"/>
                <w:sz w:val="20"/>
                <w:szCs w:val="20"/>
                <w:lang w:val="pl-PL"/>
              </w:rPr>
            </w:pPr>
            <w:r>
              <w:rPr>
                <w:rFonts w:cstheme="minorHAnsi"/>
                <w:sz w:val="20"/>
                <w:szCs w:val="20"/>
                <w:lang w:val="pl-PL"/>
              </w:rPr>
              <w:t>5-letnia gwarancja producenta świadczona na miejscu u klienta</w:t>
            </w:r>
          </w:p>
          <w:p w14:paraId="414EF856" w14:textId="77777777" w:rsidR="00B76CB0" w:rsidRDefault="00B76CB0">
            <w:pPr>
              <w:spacing w:after="0" w:line="240" w:lineRule="auto"/>
              <w:jc w:val="both"/>
              <w:rPr>
                <w:rFonts w:cstheme="minorHAnsi"/>
                <w:sz w:val="20"/>
                <w:szCs w:val="20"/>
                <w:lang w:val="pl-PL"/>
              </w:rPr>
            </w:pPr>
            <w:r>
              <w:rPr>
                <w:rFonts w:cstheme="minorHAnsi"/>
                <w:sz w:val="20"/>
                <w:szCs w:val="20"/>
                <w:lang w:val="pl-PL"/>
              </w:rPr>
              <w:t>Czas reakcji serwisu - do końca następnego dnia roboczego</w:t>
            </w:r>
          </w:p>
          <w:p w14:paraId="0D99C44D" w14:textId="77777777" w:rsidR="00B76CB0" w:rsidRDefault="00B76CB0">
            <w:pPr>
              <w:spacing w:after="0" w:line="240" w:lineRule="auto"/>
              <w:jc w:val="both"/>
              <w:rPr>
                <w:rFonts w:cstheme="minorHAnsi"/>
                <w:sz w:val="20"/>
                <w:szCs w:val="20"/>
                <w:lang w:val="pl-PL"/>
              </w:rPr>
            </w:pPr>
            <w:r>
              <w:rPr>
                <w:rFonts w:cstheme="minorHAnsi"/>
                <w:sz w:val="20"/>
                <w:szCs w:val="20"/>
                <w:lang w:val="pl-PL"/>
              </w:rPr>
              <w:t>Firma serwisująca musi posiadać ISO 9001: 2015 na świadczenie usług serwisowych oraz posiadać autoryzacje producenta komputera – dokumenty potwierdzające załączyć do oferty.</w:t>
            </w:r>
          </w:p>
          <w:p w14:paraId="5F0C7545" w14:textId="77777777" w:rsidR="00B76CB0" w:rsidRDefault="00B76CB0">
            <w:pPr>
              <w:spacing w:after="0" w:line="240" w:lineRule="auto"/>
              <w:jc w:val="both"/>
              <w:rPr>
                <w:rFonts w:cstheme="minorHAnsi"/>
                <w:sz w:val="20"/>
                <w:szCs w:val="20"/>
                <w:lang w:val="pl-PL"/>
              </w:rPr>
            </w:pPr>
            <w:r>
              <w:rPr>
                <w:rFonts w:cstheme="minorHAnsi"/>
                <w:sz w:val="20"/>
                <w:szCs w:val="20"/>
                <w:lang w:val="pl-PL"/>
              </w:rPr>
              <w:t>Oświadczenie producenta komputera, że w przypadku nie wywiązywania się z obowiązków gwarancyjnych oferenta lub firmy serwisującej, przejmie na siebie wszelkie zobowiązania związane z serwisem</w:t>
            </w:r>
          </w:p>
          <w:p w14:paraId="7BFBB3DA" w14:textId="77777777" w:rsidR="00B76CB0" w:rsidRDefault="00B76CB0">
            <w:pPr>
              <w:spacing w:after="0" w:line="240" w:lineRule="auto"/>
              <w:jc w:val="both"/>
              <w:rPr>
                <w:rFonts w:cstheme="minorHAnsi"/>
                <w:sz w:val="20"/>
                <w:szCs w:val="20"/>
                <w:lang w:val="pl-PL"/>
              </w:rPr>
            </w:pPr>
            <w:r>
              <w:rPr>
                <w:rFonts w:cstheme="minorHAnsi"/>
                <w:sz w:val="20"/>
                <w:szCs w:val="20"/>
                <w:lang w:val="pl-PL"/>
              </w:rPr>
              <w:t>W przypadku awarii dysk twardy zostaje u Zamawiającego – do oferty załączyć oświadczenie podmiotu realizującego serwis lub producenta o spełnieniu tego warunku</w:t>
            </w:r>
          </w:p>
          <w:p w14:paraId="022F9F98"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Dedykowany portal techniczny producenta, umożliwiający Zamawiającemu zgłaszanie awarii oraz samodzielne zamawianie zamiennych komponentów. </w:t>
            </w:r>
          </w:p>
          <w:p w14:paraId="780A452F" w14:textId="77777777" w:rsidR="00B76CB0" w:rsidRDefault="00B76CB0">
            <w:pPr>
              <w:spacing w:after="0" w:line="240" w:lineRule="auto"/>
              <w:jc w:val="both"/>
              <w:rPr>
                <w:rFonts w:cstheme="minorHAnsi"/>
                <w:sz w:val="20"/>
                <w:szCs w:val="20"/>
                <w:lang w:val="pl-PL"/>
              </w:rPr>
            </w:pPr>
            <w:r>
              <w:rPr>
                <w:rFonts w:cstheme="minorHAnsi"/>
                <w:sz w:val="20"/>
                <w:szCs w:val="20"/>
                <w:lang w:val="pl-PL"/>
              </w:rPr>
              <w:t xml:space="preserve">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w:t>
            </w:r>
            <w:proofErr w:type="spellStart"/>
            <w:r>
              <w:rPr>
                <w:rFonts w:cstheme="minorHAnsi"/>
                <w:sz w:val="20"/>
                <w:szCs w:val="20"/>
                <w:lang w:val="pl-PL"/>
              </w:rPr>
              <w:t>recovery</w:t>
            </w:r>
            <w:proofErr w:type="spellEnd"/>
            <w:r>
              <w:rPr>
                <w:rFonts w:cstheme="minorHAnsi"/>
                <w:sz w:val="20"/>
                <w:szCs w:val="20"/>
                <w:lang w:val="pl-PL"/>
              </w:rPr>
              <w:t xml:space="preserve"> systemu operacyjnego)</w:t>
            </w:r>
          </w:p>
        </w:tc>
      </w:tr>
    </w:tbl>
    <w:p w14:paraId="36DF15CA" w14:textId="77777777" w:rsidR="00D71C76" w:rsidRPr="00B76CB0" w:rsidRDefault="00D71C76">
      <w:pPr>
        <w:rPr>
          <w:lang w:val="pl-PL"/>
        </w:rPr>
      </w:pPr>
    </w:p>
    <w:sectPr w:rsidR="00D71C76" w:rsidRPr="00B76CB0">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113"/>
    <w:rsid w:val="00535113"/>
    <w:rsid w:val="00B76CB0"/>
    <w:rsid w:val="00CF2F96"/>
    <w:rsid w:val="00D71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5906CA-74E3-48FA-B492-3033FB54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6CB0"/>
    <w:pPr>
      <w:spacing w:after="200" w:line="276" w:lineRule="auto"/>
    </w:pPr>
    <w:rPr>
      <w:kern w:val="0"/>
      <w14:ligatures w14:val="none"/>
    </w:rPr>
  </w:style>
  <w:style w:type="paragraph" w:styleId="Nagwek3">
    <w:name w:val="heading 3"/>
    <w:basedOn w:val="Normalny"/>
    <w:next w:val="Normalny"/>
    <w:link w:val="Nagwek3Znak"/>
    <w:uiPriority w:val="9"/>
    <w:semiHidden/>
    <w:unhideWhenUsed/>
    <w:qFormat/>
    <w:rsid w:val="00B76CB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B76CB0"/>
    <w:rPr>
      <w:rFonts w:asciiTheme="majorHAnsi" w:eastAsiaTheme="majorEastAsia" w:hAnsiTheme="majorHAnsi" w:cstheme="majorBidi"/>
      <w:color w:val="1F3763" w:themeColor="accent1" w:themeShade="7F"/>
      <w:kern w:val="0"/>
      <w:sz w:val="24"/>
      <w:szCs w:val="24"/>
      <w14:ligatures w14:val="none"/>
    </w:rPr>
  </w:style>
  <w:style w:type="paragraph" w:customStyle="1" w:styleId="Default">
    <w:name w:val="Default"/>
    <w:rsid w:val="00B76CB0"/>
    <w:pPr>
      <w:autoSpaceDE w:val="0"/>
      <w:autoSpaceDN w:val="0"/>
      <w:adjustRightInd w:val="0"/>
      <w:spacing w:after="0" w:line="240" w:lineRule="auto"/>
    </w:pPr>
    <w:rPr>
      <w:rFonts w:ascii="Calibri" w:hAnsi="Calibri" w:cs="Calibri"/>
      <w:color w:val="000000"/>
      <w:kern w:val="0"/>
      <w:sz w:val="24"/>
      <w:szCs w:val="24"/>
      <w14:ligatures w14:val="none"/>
    </w:rPr>
  </w:style>
  <w:style w:type="table" w:styleId="Tabela-Siatka">
    <w:name w:val="Table Grid"/>
    <w:basedOn w:val="Standardowy"/>
    <w:uiPriority w:val="59"/>
    <w:rsid w:val="00B76CB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Łuczkowiak</dc:creator>
  <cp:keywords/>
  <dc:description/>
  <cp:lastModifiedBy>Jakub Łuczkowiak</cp:lastModifiedBy>
  <cp:revision>2</cp:revision>
  <dcterms:created xsi:type="dcterms:W3CDTF">2024-02-02T10:33:00Z</dcterms:created>
  <dcterms:modified xsi:type="dcterms:W3CDTF">2024-02-02T10:33:00Z</dcterms:modified>
</cp:coreProperties>
</file>