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96AB" w14:textId="77777777" w:rsidR="00076ABF" w:rsidRPr="00076ABF" w:rsidRDefault="00076ABF" w:rsidP="00076ABF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 w:rsidRPr="00076ABF">
        <w:rPr>
          <w:rFonts w:asciiTheme="minorHAnsi" w:hAnsiTheme="minorHAnsi" w:cstheme="minorHAnsi"/>
          <w:b/>
          <w:sz w:val="20"/>
        </w:rPr>
        <w:t>Formularzu asortymentowo-cenowy</w:t>
      </w:r>
    </w:p>
    <w:p w14:paraId="79BBF3B0" w14:textId="77777777" w:rsidR="00076ABF" w:rsidRPr="00076ABF" w:rsidRDefault="00076ABF" w:rsidP="00076ABF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3A809169" w14:textId="77777777" w:rsidR="00076ABF" w:rsidRDefault="00076ABF" w:rsidP="00076ABF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 w:rsidRPr="00076ABF">
        <w:rPr>
          <w:rFonts w:asciiTheme="minorHAnsi" w:hAnsiTheme="minorHAnsi" w:cstheme="minorHAnsi"/>
          <w:b/>
          <w:sz w:val="20"/>
        </w:rPr>
        <w:t>„Dostawa sprzętu komputerowego dla Łukasiewicz-PORT”, nr sprawy SPZP.271.142.2024</w:t>
      </w:r>
    </w:p>
    <w:p w14:paraId="7D439EFE" w14:textId="77777777" w:rsidR="00076ABF" w:rsidRPr="00076ABF" w:rsidRDefault="00076ABF" w:rsidP="00076ABF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3D639881" w14:textId="26376E29" w:rsidR="00325E0F" w:rsidRDefault="00325E0F" w:rsidP="00076ABF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Część </w:t>
      </w:r>
      <w:r w:rsidR="00EA031C">
        <w:rPr>
          <w:rFonts w:asciiTheme="minorHAnsi" w:hAnsiTheme="minorHAnsi" w:cstheme="minorHAnsi"/>
          <w:b/>
          <w:bCs/>
          <w:color w:val="auto"/>
          <w:sz w:val="20"/>
          <w:szCs w:val="20"/>
        </w:rPr>
        <w:t>4</w:t>
      </w:r>
      <w:r w:rsidR="00076AB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- Dostawa </w:t>
      </w:r>
      <w:r w:rsidR="0020770E">
        <w:rPr>
          <w:rFonts w:asciiTheme="minorHAnsi" w:hAnsiTheme="minorHAnsi" w:cstheme="minorHAnsi"/>
          <w:b/>
          <w:bCs/>
          <w:color w:val="auto"/>
          <w:sz w:val="20"/>
          <w:szCs w:val="20"/>
        </w:rPr>
        <w:t>monitorów</w:t>
      </w:r>
      <w:r w:rsidR="00255AF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27”</w:t>
      </w:r>
    </w:p>
    <w:tbl>
      <w:tblPr>
        <w:tblW w:w="1449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038"/>
        <w:gridCol w:w="1901"/>
        <w:gridCol w:w="1372"/>
        <w:gridCol w:w="1959"/>
        <w:gridCol w:w="1284"/>
        <w:gridCol w:w="1633"/>
        <w:gridCol w:w="865"/>
        <w:gridCol w:w="1475"/>
        <w:gridCol w:w="1455"/>
      </w:tblGrid>
      <w:tr w:rsidR="001246CC" w:rsidRPr="00255216" w14:paraId="4D2E855C" w14:textId="77777777" w:rsidTr="00383B98">
        <w:trPr>
          <w:trHeight w:val="81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8F5568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63045668"/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C6214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DB774D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7C9D3E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905F3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producenta - PN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61E7B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Ilość (zestaw)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C4168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[PLN] (zestaw)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5FBD7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B1E66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VAT PLN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x G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A3134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PLN 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+ H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246CC" w:rsidRPr="00255216" w14:paraId="64626649" w14:textId="77777777" w:rsidTr="00383B98">
        <w:trPr>
          <w:trHeight w:val="26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02BA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8470E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2AA162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DD00B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A30C9D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7D2FB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D5A8E6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BD3E80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136ECB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8E47B9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1246CC" w:rsidRPr="00255216" w14:paraId="3C58FFFC" w14:textId="77777777" w:rsidTr="00383B98">
        <w:trPr>
          <w:trHeight w:val="130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FAF5CF" w14:textId="77777777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4C046" w14:textId="458A8A3E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B38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Monitory LCD 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2B38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”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38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 funkcją stacji dokującej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E824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7515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5D3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E8869" w14:textId="1E98EB4F" w:rsidR="001246CC" w:rsidRPr="00255216" w:rsidRDefault="001246CC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5EF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C7BC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3CD5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8070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46CC" w:rsidRPr="00255216" w14:paraId="6FE8A868" w14:textId="77777777" w:rsidTr="00383B98">
        <w:trPr>
          <w:trHeight w:val="130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81F434" w14:textId="384E8E87" w:rsidR="001246CC" w:rsidRPr="00255216" w:rsidRDefault="00383B98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82321A" w14:textId="67ED156E" w:rsidR="001246CC" w:rsidRPr="00D235D7" w:rsidRDefault="001246CC" w:rsidP="003339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8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Monitory LCD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  <w:r w:rsidRPr="002B38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”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UHD </w:t>
            </w:r>
            <w:r w:rsidRPr="002B38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 funkcją stacji dokującej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E6AA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CBB9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2204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16DAEE" w14:textId="094DD952" w:rsidR="001246CC" w:rsidRDefault="00383B98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B062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63DC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DAF8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3316" w14:textId="77777777" w:rsidR="001246CC" w:rsidRPr="00255216" w:rsidRDefault="001246CC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83B98" w:rsidRPr="00255216" w14:paraId="6F0EAF33" w14:textId="77777777" w:rsidTr="00837163">
        <w:trPr>
          <w:trHeight w:val="4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198A3C" w14:textId="10D495AC" w:rsidR="00383B98" w:rsidRDefault="00383B98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215F46" w14:textId="231D90A1" w:rsidR="00383B98" w:rsidRDefault="00383B98" w:rsidP="0038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Łącznie cena oferty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F758" w14:textId="77777777" w:rsidR="00383B98" w:rsidRPr="00255216" w:rsidRDefault="00383B98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A88F" w14:textId="61F44C57" w:rsidR="00383B98" w:rsidRPr="00255216" w:rsidRDefault="00383B98" w:rsidP="0038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5BA2" w14:textId="77777777" w:rsidR="00383B98" w:rsidRPr="00255216" w:rsidRDefault="00383B98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F59F" w14:textId="77777777" w:rsidR="00383B98" w:rsidRPr="00255216" w:rsidRDefault="00383B98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6051991" w14:textId="77777777" w:rsidR="00325E0F" w:rsidRDefault="00325E0F" w:rsidP="00325E0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C20B821" w14:textId="77777777" w:rsidR="003D0D4E" w:rsidRDefault="003D0D4E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0FDBA93" w14:textId="6F9189A7" w:rsidR="004E25CE" w:rsidRPr="004E25CE" w:rsidRDefault="004E25CE" w:rsidP="004E25CE">
      <w:pPr>
        <w:rPr>
          <w:rFonts w:asciiTheme="minorHAnsi" w:hAnsiTheme="minorHAnsi" w:cstheme="minorHAnsi"/>
          <w:sz w:val="20"/>
          <w:szCs w:val="20"/>
        </w:rPr>
      </w:pPr>
    </w:p>
    <w:p w14:paraId="216C3D52" w14:textId="62FE8864" w:rsidR="004E25CE" w:rsidRPr="004E25CE" w:rsidRDefault="004E25CE" w:rsidP="004E25CE">
      <w:pPr>
        <w:tabs>
          <w:tab w:val="left" w:pos="46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203C61D" w14:textId="5628A7F5" w:rsidR="004E25CE" w:rsidRPr="004E25CE" w:rsidRDefault="00805A7E" w:rsidP="004E25CE">
      <w:pPr>
        <w:tabs>
          <w:tab w:val="left" w:pos="4620"/>
        </w:tabs>
        <w:rPr>
          <w:rFonts w:asciiTheme="minorHAnsi" w:hAnsiTheme="minorHAnsi" w:cstheme="minorHAnsi"/>
          <w:sz w:val="20"/>
          <w:szCs w:val="20"/>
        </w:rPr>
        <w:sectPr w:rsidR="004E25CE" w:rsidRPr="004E25CE" w:rsidSect="00076ABF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81371">
        <w:rPr>
          <w:rFonts w:ascii="Verdana" w:eastAsia="Verdana" w:hAnsi="Verdana" w:cs="Times New Roman"/>
          <w:noProof/>
          <w:color w:val="000000"/>
          <w:spacing w:val="4"/>
          <w:sz w:val="20"/>
          <w:lang w:eastAsia="en-US"/>
        </w:rPr>
        <w:drawing>
          <wp:anchor distT="0" distB="0" distL="114300" distR="114300" simplePos="0" relativeHeight="251663360" behindDoc="1" locked="0" layoutInCell="1" allowOverlap="1" wp14:anchorId="1B0739D2" wp14:editId="3DE7FF2F">
            <wp:simplePos x="0" y="0"/>
            <wp:positionH relativeFrom="column">
              <wp:posOffset>4400550</wp:posOffset>
            </wp:positionH>
            <wp:positionV relativeFrom="page">
              <wp:posOffset>6104890</wp:posOffset>
            </wp:positionV>
            <wp:extent cx="2384425" cy="201295"/>
            <wp:effectExtent l="0" t="0" r="0" b="8255"/>
            <wp:wrapTight wrapText="bothSides">
              <wp:wrapPolygon edited="0">
                <wp:start x="0" y="0"/>
                <wp:lineTo x="0" y="20442"/>
                <wp:lineTo x="2243" y="20442"/>
                <wp:lineTo x="21399" y="18397"/>
                <wp:lineTo x="21399" y="4088"/>
                <wp:lineTo x="224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5CE">
        <w:rPr>
          <w:noProof/>
        </w:rPr>
        <w:drawing>
          <wp:anchor distT="0" distB="0" distL="114300" distR="114300" simplePos="0" relativeHeight="251659264" behindDoc="1" locked="0" layoutInCell="1" allowOverlap="1" wp14:anchorId="516A624D" wp14:editId="365699B4">
            <wp:simplePos x="0" y="0"/>
            <wp:positionH relativeFrom="column">
              <wp:posOffset>2462530</wp:posOffset>
            </wp:positionH>
            <wp:positionV relativeFrom="paragraph">
              <wp:posOffset>10160</wp:posOffset>
            </wp:positionV>
            <wp:extent cx="1241425" cy="67881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5CE">
        <w:rPr>
          <w:rFonts w:asciiTheme="minorHAnsi" w:hAnsiTheme="minorHAnsi" w:cstheme="minorHAnsi"/>
          <w:sz w:val="20"/>
          <w:szCs w:val="20"/>
        </w:rPr>
        <w:tab/>
      </w:r>
    </w:p>
    <w:p w14:paraId="4231285D" w14:textId="77777777" w:rsidR="00C321D9" w:rsidRDefault="00C321D9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41320AB" w14:textId="4143761B" w:rsidR="00754C93" w:rsidRPr="0020770E" w:rsidRDefault="00325E0F" w:rsidP="0020770E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Szczegółowy opis przedmiotu zamówienia</w:t>
      </w:r>
    </w:p>
    <w:tbl>
      <w:tblPr>
        <w:tblW w:w="907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5670"/>
        <w:gridCol w:w="1842"/>
      </w:tblGrid>
      <w:tr w:rsidR="00907849" w:rsidRPr="00333681" w14:paraId="07EC4E04" w14:textId="37BB40AE" w:rsidTr="00907849">
        <w:trPr>
          <w:trHeight w:val="352"/>
        </w:trPr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317C483E" w14:textId="0A2F2948" w:rsidR="00907849" w:rsidRPr="002B384B" w:rsidRDefault="00907849" w:rsidP="00907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2B384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Tabela</w:t>
            </w:r>
            <w:proofErr w:type="spellEnd"/>
            <w:r w:rsidRPr="002B384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nr 1 - </w:t>
            </w:r>
            <w:r w:rsidRPr="002B38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Monitory LCD 27” </w:t>
            </w:r>
            <w:proofErr w:type="spellStart"/>
            <w:r w:rsidRPr="002B384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pl-PL"/>
              </w:rPr>
              <w:t>Ful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pl-PL"/>
              </w:rPr>
              <w:t>lHD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2AAA65BB" w14:textId="77777777" w:rsidR="00907849" w:rsidRPr="00907849" w:rsidRDefault="00907849" w:rsidP="0090784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784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Parametry oferowane przez Wykonawcę:</w:t>
            </w:r>
          </w:p>
          <w:p w14:paraId="660D823C" w14:textId="77777777" w:rsidR="00907849" w:rsidRPr="00907849" w:rsidRDefault="00907849" w:rsidP="0090784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784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 – spełnia, NIE – nie spełnia</w:t>
            </w:r>
          </w:p>
          <w:p w14:paraId="25AD1839" w14:textId="2F4A26B1" w:rsidR="00907849" w:rsidRPr="002B384B" w:rsidRDefault="00907849" w:rsidP="0090784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90784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(do wypełnienia przez Wykonawcę)</w:t>
            </w:r>
          </w:p>
        </w:tc>
      </w:tr>
      <w:tr w:rsidR="00907849" w14:paraId="2EA945E1" w14:textId="477B2A1E" w:rsidTr="00A92D74">
        <w:trPr>
          <w:trHeight w:val="292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F799A9D" w14:textId="77777777" w:rsidR="00907849" w:rsidRDefault="0090784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472D447D" w14:textId="77777777" w:rsidR="00907849" w:rsidRDefault="0090784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B0B91E5" w14:textId="741E4A2F" w:rsidR="00907849" w:rsidRDefault="00907849" w:rsidP="0090784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3681" w14:paraId="72BC006A" w14:textId="0EE4F15E" w:rsidTr="00A92D74">
        <w:trPr>
          <w:trHeight w:val="757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A93BE" w14:textId="77777777" w:rsidR="00333681" w:rsidRDefault="003336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2B30A" w14:textId="361D7BF8" w:rsidR="00333681" w:rsidRDefault="00333681">
            <w:pPr>
              <w:pStyle w:val="Bezodstpw"/>
              <w:spacing w:line="25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Monitor o minimalnej przekątnej 27", rozdzielczość minimalna 1920x1080. Statyczny współczynnik kontrastu 1000:1, Czas reakcji maksymalnie 5 ms (GTG). Matryca matowa WLED w układzie 16:9. Jasność 300 nitów. Pokrycie palety barw 99%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sRGB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Podstawa z regulacją wysokości oraz funkcja obrotu ekranu o 90 stopni. Min. kąt widzenia pionowy i poziomy 178 stopni. Wymagane złącza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(min. 1x wyjście i 1x wejście), HDMI, USB 3.1 (minimalnie), RJ-45 (LAN) oraz cyfrowy kabel dopasowany do oferowanej stacji dokującej pozwalający na wyświetlenie natywnej rozdzielczości monitora.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 musi funkcjonować jako stacja dokująca: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- Podłączenie urządzenia z wykorzystaniem portu USB-C pozwoli zarówno transmitować obraz, jak i zasilić je mocą do 65W oraz skorzystać z wbudowanego w monitor hub-a USB.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- Podłączenie monitora do sieci (z wykorzystaniem portu RJ-45) udostępnia ją podpiętemu do niego urządzeniu.</w:t>
            </w:r>
          </w:p>
          <w:p w14:paraId="4C0B90BA" w14:textId="77777777" w:rsidR="00333681" w:rsidRDefault="00333681">
            <w:pPr>
              <w:pStyle w:val="Bezodstpw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Stacja dokująca zintegrowana z monitorem musi być fabrycznie zamontowana przez producenta.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6876" w14:textId="77777777" w:rsidR="00333681" w:rsidRDefault="00333681">
            <w:pPr>
              <w:pStyle w:val="Bezodstpw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057208E" w14:textId="77777777" w:rsidR="00C735FA" w:rsidRDefault="00C735FA"/>
    <w:tbl>
      <w:tblPr>
        <w:tblW w:w="907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5670"/>
        <w:gridCol w:w="1842"/>
      </w:tblGrid>
      <w:tr w:rsidR="00907849" w14:paraId="060AB3C5" w14:textId="3770A203" w:rsidTr="00A92D74">
        <w:trPr>
          <w:trHeight w:val="352"/>
        </w:trPr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8EDCE28" w14:textId="65CD3500" w:rsidR="00907849" w:rsidRDefault="00907849" w:rsidP="00907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2 -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Monitory LCD 27” UHD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48F96689" w14:textId="77777777" w:rsidR="00907849" w:rsidRPr="00907849" w:rsidRDefault="00907849" w:rsidP="0090784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784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Parametry oferowane przez Wykonawcę:</w:t>
            </w:r>
          </w:p>
          <w:p w14:paraId="22DF6904" w14:textId="77777777" w:rsidR="00907849" w:rsidRPr="00907849" w:rsidRDefault="00907849" w:rsidP="0090784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784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 – spełnia, NIE – nie spełnia</w:t>
            </w:r>
          </w:p>
          <w:p w14:paraId="770417B7" w14:textId="6FCC90B9" w:rsidR="00907849" w:rsidRDefault="00907849" w:rsidP="0090784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784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(do wypełnienia przez Wykonawcę)</w:t>
            </w:r>
          </w:p>
        </w:tc>
      </w:tr>
      <w:tr w:rsidR="00907849" w14:paraId="66606A0E" w14:textId="08553509" w:rsidTr="00A92D74">
        <w:trPr>
          <w:trHeight w:val="292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39F3ADF" w14:textId="77777777" w:rsidR="00907849" w:rsidRDefault="00907849" w:rsidP="00B109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EA26097" w14:textId="77777777" w:rsidR="00907849" w:rsidRDefault="00907849" w:rsidP="00B109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7E05ADC" w14:textId="357FC652" w:rsidR="00907849" w:rsidRDefault="00907849" w:rsidP="0090784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3681" w14:paraId="27886EAA" w14:textId="43E3CBD1" w:rsidTr="00A92D74">
        <w:trPr>
          <w:trHeight w:val="757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175D4" w14:textId="77777777" w:rsidR="00333681" w:rsidRDefault="00333681" w:rsidP="00B109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1F838" w14:textId="3BEE61D2" w:rsidR="00333681" w:rsidRPr="005173A3" w:rsidRDefault="00333681" w:rsidP="00B109C8">
            <w:pPr>
              <w:pStyle w:val="Bezodstpw"/>
              <w:spacing w:line="25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o minimalnej przekątnej 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", rozdzielczość minimalna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3840</w:t>
            </w:r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2160</w:t>
            </w:r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Statyczny współczynnik kontrastu 1000:1, Czas reakcji maksymalnie 5 ms (GTG). Matryca matowa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WLED</w:t>
            </w:r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układzie 16:9.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Jasność 350 nitów. </w:t>
            </w:r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Pokrycie palety barw 99% </w:t>
            </w:r>
            <w:proofErr w:type="spellStart"/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sRGB</w:t>
            </w:r>
            <w:proofErr w:type="spellEnd"/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Podstawa z regulacją wysokości oraz funkcja obrotu ekranu o 90 stopni.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k</w:t>
            </w:r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ąt widzenia pionowy i poziomy 178 stopni. Wymagane złącza </w:t>
            </w:r>
            <w:proofErr w:type="spellStart"/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HDMI, USB 3.0 (minimalnie),RJ-45[</w:t>
            </w:r>
            <w:proofErr w:type="spellStart"/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lan</w:t>
            </w:r>
            <w:proofErr w:type="spellEnd"/>
            <w:r w:rsidRPr="005173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] oraz cyfrowy kabel dopasowany do oferowanej stacji dokującej pozwalający na wyświetlenie natywnej rozdzielczości monitora. </w:t>
            </w:r>
            <w:r w:rsidRPr="005173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 musi funkcjonować jako stacja dokująca:</w:t>
            </w:r>
            <w:r w:rsidRPr="005173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- Podłączenie urządzenia z wykorzystaniem portu USB-C pozwoli zarówno transmitować obraz, jak i zasilić je mocą do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90</w:t>
            </w:r>
            <w:r w:rsidRPr="005173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oraz skorzystać z wbudowanego w monitor hub-a USB.</w:t>
            </w:r>
            <w:r w:rsidRPr="005173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5173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- Podłączenie monitora do sieci (z wykorzystaniem portu RJ-45) udostępnia ją podpiętemu do niego urządzeniu.</w:t>
            </w:r>
          </w:p>
          <w:p w14:paraId="59BC4AA4" w14:textId="77777777" w:rsidR="00333681" w:rsidRDefault="00333681" w:rsidP="00B109C8">
            <w:pPr>
              <w:pStyle w:val="Bezodstpw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73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Stacja dokująca zintegrowana z monitorem musi być fabrycznie zamontowana przez producenta.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DA49" w14:textId="77777777" w:rsidR="00333681" w:rsidRPr="005173A3" w:rsidRDefault="00333681" w:rsidP="00B109C8">
            <w:pPr>
              <w:pStyle w:val="Bezodstpw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B1A2E2A" w14:textId="6F92FA4B" w:rsidR="002955F2" w:rsidRDefault="002955F2"/>
    <w:p w14:paraId="300B04B0" w14:textId="01DD9E22" w:rsidR="002955F2" w:rsidRDefault="002955F2"/>
    <w:p w14:paraId="1D220F04" w14:textId="2788A793" w:rsidR="002955F2" w:rsidRDefault="00805A7E">
      <w:r w:rsidRPr="00F81371">
        <w:rPr>
          <w:rFonts w:ascii="Verdana" w:eastAsia="Verdana" w:hAnsi="Verdana" w:cs="Times New Roman"/>
          <w:noProof/>
          <w:color w:val="000000"/>
          <w:spacing w:val="4"/>
          <w:sz w:val="20"/>
          <w:lang w:eastAsia="en-US"/>
        </w:rPr>
        <w:drawing>
          <wp:anchor distT="0" distB="0" distL="114300" distR="114300" simplePos="0" relativeHeight="251661312" behindDoc="1" locked="0" layoutInCell="1" allowOverlap="1" wp14:anchorId="2A549891" wp14:editId="25CD311A">
            <wp:simplePos x="0" y="0"/>
            <wp:positionH relativeFrom="column">
              <wp:posOffset>2838450</wp:posOffset>
            </wp:positionH>
            <wp:positionV relativeFrom="page">
              <wp:posOffset>9261475</wp:posOffset>
            </wp:positionV>
            <wp:extent cx="2384425" cy="201295"/>
            <wp:effectExtent l="0" t="0" r="0" b="8255"/>
            <wp:wrapTight wrapText="bothSides">
              <wp:wrapPolygon edited="0">
                <wp:start x="0" y="0"/>
                <wp:lineTo x="0" y="20442"/>
                <wp:lineTo x="2243" y="20442"/>
                <wp:lineTo x="21399" y="18397"/>
                <wp:lineTo x="21399" y="4088"/>
                <wp:lineTo x="2243" y="0"/>
                <wp:lineTo x="0" y="0"/>
              </wp:wrapPolygon>
            </wp:wrapTight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9F825E" w14:textId="2E082431" w:rsidR="00325E0F" w:rsidRDefault="00907849" w:rsidP="0098135A">
      <w:pPr>
        <w:tabs>
          <w:tab w:val="left" w:pos="243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E819CD" wp14:editId="3EA14613">
            <wp:simplePos x="0" y="0"/>
            <wp:positionH relativeFrom="column">
              <wp:posOffset>1322099</wp:posOffset>
            </wp:positionH>
            <wp:positionV relativeFrom="paragraph">
              <wp:posOffset>6268262</wp:posOffset>
            </wp:positionV>
            <wp:extent cx="1241425" cy="679380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135A">
        <w:tab/>
      </w:r>
    </w:p>
    <w:sectPr w:rsidR="0032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BC0D" w14:textId="77777777" w:rsidR="00577CE0" w:rsidRDefault="00577CE0" w:rsidP="006B0214">
      <w:pPr>
        <w:spacing w:after="0" w:line="240" w:lineRule="auto"/>
      </w:pPr>
      <w:r>
        <w:separator/>
      </w:r>
    </w:p>
  </w:endnote>
  <w:endnote w:type="continuationSeparator" w:id="0">
    <w:p w14:paraId="13E42C63" w14:textId="77777777" w:rsidR="00577CE0" w:rsidRDefault="00577CE0" w:rsidP="006B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32A3" w14:textId="77F1A9FC" w:rsidR="0087591F" w:rsidRDefault="0087591F" w:rsidP="0087591F">
    <w:pPr>
      <w:pStyle w:val="Stopka"/>
      <w:jc w:val="center"/>
    </w:pPr>
    <w:r>
      <w:rPr>
        <w:noProof/>
      </w:rPr>
      <w:drawing>
        <wp:inline distT="0" distB="0" distL="0" distR="0" wp14:anchorId="28EFDEBE" wp14:editId="545DD469">
          <wp:extent cx="4267835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4C52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3360" behindDoc="1" locked="1" layoutInCell="1" allowOverlap="1" wp14:anchorId="0D130E87" wp14:editId="19D9455E">
          <wp:simplePos x="0" y="0"/>
          <wp:positionH relativeFrom="page">
            <wp:posOffset>6176645</wp:posOffset>
          </wp:positionH>
          <wp:positionV relativeFrom="page">
            <wp:posOffset>9775190</wp:posOffset>
          </wp:positionV>
          <wp:extent cx="1230630" cy="848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C52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1312" behindDoc="1" locked="1" layoutInCell="1" allowOverlap="1" wp14:anchorId="3E2A6BCE" wp14:editId="0F2ED825">
          <wp:simplePos x="0" y="0"/>
          <wp:positionH relativeFrom="page">
            <wp:posOffset>9396095</wp:posOffset>
          </wp:positionH>
          <wp:positionV relativeFrom="page">
            <wp:posOffset>6576695</wp:posOffset>
          </wp:positionV>
          <wp:extent cx="1230630" cy="84899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FC36" w14:textId="77777777" w:rsidR="00577CE0" w:rsidRDefault="00577CE0" w:rsidP="006B0214">
      <w:pPr>
        <w:spacing w:after="0" w:line="240" w:lineRule="auto"/>
      </w:pPr>
      <w:r>
        <w:separator/>
      </w:r>
    </w:p>
  </w:footnote>
  <w:footnote w:type="continuationSeparator" w:id="0">
    <w:p w14:paraId="00F9FD1E" w14:textId="77777777" w:rsidR="00577CE0" w:rsidRDefault="00577CE0" w:rsidP="006B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0BE8" w14:textId="050D477C" w:rsidR="006B0214" w:rsidRDefault="006B021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97C1EFC" wp14:editId="78A851E3">
          <wp:simplePos x="0" y="0"/>
          <wp:positionH relativeFrom="leftMargin">
            <wp:posOffset>194945</wp:posOffset>
          </wp:positionH>
          <wp:positionV relativeFrom="paragraph">
            <wp:posOffset>-191135</wp:posOffset>
          </wp:positionV>
          <wp:extent cx="791625" cy="1609725"/>
          <wp:effectExtent l="0" t="0" r="8890" b="0"/>
          <wp:wrapNone/>
          <wp:docPr id="1463056430" name="Obraz 1463056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DA3"/>
    <w:multiLevelType w:val="hybridMultilevel"/>
    <w:tmpl w:val="4C3287DE"/>
    <w:lvl w:ilvl="0" w:tplc="71B23F9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827">
    <w:abstractNumId w:val="2"/>
  </w:num>
  <w:num w:numId="2" w16cid:durableId="1671056414">
    <w:abstractNumId w:val="3"/>
  </w:num>
  <w:num w:numId="3" w16cid:durableId="822815143">
    <w:abstractNumId w:val="1"/>
  </w:num>
  <w:num w:numId="4" w16cid:durableId="2132236589">
    <w:abstractNumId w:val="4"/>
  </w:num>
  <w:num w:numId="5" w16cid:durableId="147282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5"/>
    <w:rsid w:val="00066616"/>
    <w:rsid w:val="00076ABF"/>
    <w:rsid w:val="001246CC"/>
    <w:rsid w:val="0020770E"/>
    <w:rsid w:val="00236CC4"/>
    <w:rsid w:val="00237724"/>
    <w:rsid w:val="00253CC5"/>
    <w:rsid w:val="00255AF3"/>
    <w:rsid w:val="002955F2"/>
    <w:rsid w:val="002B384B"/>
    <w:rsid w:val="00325E0F"/>
    <w:rsid w:val="00333681"/>
    <w:rsid w:val="00366652"/>
    <w:rsid w:val="00383B98"/>
    <w:rsid w:val="00390B3A"/>
    <w:rsid w:val="00392904"/>
    <w:rsid w:val="003B4FE8"/>
    <w:rsid w:val="003D0D4E"/>
    <w:rsid w:val="003F7FEF"/>
    <w:rsid w:val="00437F39"/>
    <w:rsid w:val="004A1B8D"/>
    <w:rsid w:val="004E25CE"/>
    <w:rsid w:val="005173A3"/>
    <w:rsid w:val="00554C52"/>
    <w:rsid w:val="00557C2B"/>
    <w:rsid w:val="00577CE0"/>
    <w:rsid w:val="005A0C8B"/>
    <w:rsid w:val="005D292B"/>
    <w:rsid w:val="005D7C5D"/>
    <w:rsid w:val="005E44BE"/>
    <w:rsid w:val="006B0214"/>
    <w:rsid w:val="00754C93"/>
    <w:rsid w:val="00761090"/>
    <w:rsid w:val="00805A7E"/>
    <w:rsid w:val="00853FFC"/>
    <w:rsid w:val="00855EED"/>
    <w:rsid w:val="0087591F"/>
    <w:rsid w:val="008D1D13"/>
    <w:rsid w:val="00907849"/>
    <w:rsid w:val="00965EA6"/>
    <w:rsid w:val="00980986"/>
    <w:rsid w:val="0098135A"/>
    <w:rsid w:val="00A761F0"/>
    <w:rsid w:val="00A92D74"/>
    <w:rsid w:val="00B127FD"/>
    <w:rsid w:val="00B61A55"/>
    <w:rsid w:val="00B81DD1"/>
    <w:rsid w:val="00B95EBA"/>
    <w:rsid w:val="00BB62EB"/>
    <w:rsid w:val="00BE731F"/>
    <w:rsid w:val="00C321D9"/>
    <w:rsid w:val="00C65F86"/>
    <w:rsid w:val="00C735FA"/>
    <w:rsid w:val="00D842F5"/>
    <w:rsid w:val="00E010BB"/>
    <w:rsid w:val="00E80E33"/>
    <w:rsid w:val="00EA031C"/>
    <w:rsid w:val="00F8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8FAA1"/>
  <w15:chartTrackingRefBased/>
  <w15:docId w15:val="{2529BAF6-18CC-4F0C-AC87-69768EB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E0F"/>
    <w:pPr>
      <w:spacing w:after="200" w:line="276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E0F"/>
    <w:pPr>
      <w:ind w:left="720"/>
      <w:contextualSpacing/>
    </w:pPr>
  </w:style>
  <w:style w:type="paragraph" w:styleId="Bezodstpw">
    <w:name w:val="No Spacing"/>
    <w:uiPriority w:val="1"/>
    <w:qFormat/>
    <w:rsid w:val="00325E0F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Adreszwrotnynakopercie">
    <w:name w:val="envelope return"/>
    <w:basedOn w:val="Normalny"/>
    <w:unhideWhenUsed/>
    <w:rsid w:val="00325E0F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styleId="Poprawka">
    <w:name w:val="Revision"/>
    <w:hidden/>
    <w:uiPriority w:val="99"/>
    <w:semiHidden/>
    <w:rsid w:val="00557C2B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214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214"/>
    <w:rPr>
      <w:rFonts w:ascii="Tahoma" w:eastAsia="Calibri" w:hAnsi="Tahoma" w:cs="Tahoma"/>
      <w:color w:val="808284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2024-11-13T08:07:04+00:00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A994F2B1-B673-499F-97D3-DD0AC0BF9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243C5-DEA3-4B8A-9B69-DD2C2DF61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CB039-E32F-4C50-AFB7-94BA025A1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4FD8FF-7373-4672-8A86-6A1B83D40B87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Kruczek | Łukasiewicz - PORT</dc:creator>
  <cp:keywords/>
  <dc:description/>
  <cp:lastModifiedBy>Marzena Krzymińska | Łukasiewicz – PORT</cp:lastModifiedBy>
  <cp:revision>36</cp:revision>
  <dcterms:created xsi:type="dcterms:W3CDTF">2024-07-26T07:03:00Z</dcterms:created>
  <dcterms:modified xsi:type="dcterms:W3CDTF">2024-11-29T10:47:00Z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