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81" w:rsidRDefault="00D93881" w:rsidP="00E70A7F">
      <w:pPr>
        <w:rPr>
          <w:rFonts w:cs="Arial"/>
        </w:rPr>
      </w:pPr>
    </w:p>
    <w:p w:rsidR="00D93881" w:rsidRPr="00D93881" w:rsidRDefault="00D93881" w:rsidP="00D93881">
      <w:pPr>
        <w:jc w:val="center"/>
        <w:rPr>
          <w:rFonts w:cs="Arial"/>
          <w:b/>
        </w:rPr>
      </w:pPr>
      <w:r w:rsidRPr="00D93881">
        <w:rPr>
          <w:rFonts w:cs="Arial"/>
          <w:b/>
        </w:rPr>
        <w:t>Specyfikacja techniczna przedmiotu zamówienia</w:t>
      </w:r>
    </w:p>
    <w:p w:rsidR="00D93881" w:rsidRDefault="00D93881" w:rsidP="00E70A7F">
      <w:pPr>
        <w:rPr>
          <w:rFonts w:cs="Arial"/>
        </w:rPr>
      </w:pPr>
    </w:p>
    <w:p w:rsidR="000C68F2" w:rsidRDefault="00E70A7F" w:rsidP="00D93881">
      <w:pPr>
        <w:jc w:val="both"/>
        <w:rPr>
          <w:rFonts w:cs="Arial"/>
        </w:rPr>
      </w:pPr>
      <w:r>
        <w:rPr>
          <w:rFonts w:cs="Arial"/>
        </w:rPr>
        <w:t xml:space="preserve">Przedmiotem zamówienia jest dostawa urządzeń do neutralizacji patogenów chorobotwórczych (wirusów – w tym SARS-CoV2, grzybów, bakterii, itp.) zwanych w dalszej części urządzeniami </w:t>
      </w:r>
      <w:r w:rsidR="00D93881">
        <w:rPr>
          <w:rFonts w:cs="Arial"/>
        </w:rPr>
        <w:t>wraz z</w:t>
      </w:r>
      <w:r>
        <w:rPr>
          <w:rFonts w:cs="Arial"/>
        </w:rPr>
        <w:t xml:space="preserve"> ich</w:t>
      </w:r>
      <w:r w:rsidR="00D93881">
        <w:rPr>
          <w:rFonts w:cs="Arial"/>
        </w:rPr>
        <w:t xml:space="preserve"> rozmieszczeniem i </w:t>
      </w:r>
      <w:r>
        <w:rPr>
          <w:rFonts w:cs="Arial"/>
        </w:rPr>
        <w:t xml:space="preserve"> montaż</w:t>
      </w:r>
      <w:r w:rsidR="00D93881">
        <w:rPr>
          <w:rFonts w:cs="Arial"/>
        </w:rPr>
        <w:t>em</w:t>
      </w:r>
      <w:r>
        <w:rPr>
          <w:rFonts w:cs="Arial"/>
        </w:rPr>
        <w:t xml:space="preserve"> w </w:t>
      </w:r>
      <w:r w:rsidR="00D54D6A">
        <w:rPr>
          <w:rFonts w:cs="Arial"/>
        </w:rPr>
        <w:t>8</w:t>
      </w:r>
      <w:r>
        <w:rPr>
          <w:rFonts w:cs="Arial"/>
        </w:rPr>
        <w:t xml:space="preserve"> </w:t>
      </w:r>
      <w:r w:rsidR="000C68F2">
        <w:rPr>
          <w:rFonts w:cs="Arial"/>
        </w:rPr>
        <w:t xml:space="preserve">pojazdach komunikacji miejskiej tj. </w:t>
      </w:r>
      <w:r>
        <w:rPr>
          <w:rFonts w:cs="Arial"/>
        </w:rPr>
        <w:t xml:space="preserve">autobusach, </w:t>
      </w:r>
      <w:r w:rsidR="000C68F2" w:rsidRPr="000C68F2">
        <w:rPr>
          <w:rFonts w:cs="Arial"/>
        </w:rPr>
        <w:t>składających się z w</w:t>
      </w:r>
      <w:r w:rsidR="000C68F2">
        <w:rPr>
          <w:rFonts w:cs="Arial"/>
        </w:rPr>
        <w:t xml:space="preserve"> łącznej ilości z </w:t>
      </w:r>
      <w:r w:rsidR="00D54D6A">
        <w:rPr>
          <w:rFonts w:cs="Arial"/>
        </w:rPr>
        <w:t>52</w:t>
      </w:r>
      <w:r w:rsidR="000C68F2">
        <w:rPr>
          <w:rFonts w:cs="Arial"/>
        </w:rPr>
        <w:t xml:space="preserve"> modułów</w:t>
      </w:r>
      <w:r w:rsidR="00D54D6A">
        <w:rPr>
          <w:rFonts w:cs="Arial"/>
        </w:rPr>
        <w:br/>
      </w:r>
      <w:r>
        <w:rPr>
          <w:rFonts w:cs="Arial"/>
        </w:rPr>
        <w:t xml:space="preserve">w tym podłączenie do instalacji elektrycznych. </w:t>
      </w:r>
    </w:p>
    <w:p w:rsidR="00E70A7F" w:rsidRDefault="00E70A7F" w:rsidP="00D93881">
      <w:pPr>
        <w:jc w:val="both"/>
        <w:rPr>
          <w:rFonts w:cs="Arial"/>
        </w:rPr>
      </w:pPr>
      <w:r>
        <w:rPr>
          <w:rFonts w:cs="Arial"/>
        </w:rPr>
        <w:t>Zestawienie pojazdów w rozbiciu na marki i modele, stanowi załącznik nr 1 do niniejszej specyfikacji technicznej</w:t>
      </w:r>
      <w:r w:rsidR="00D93881">
        <w:rPr>
          <w:rFonts w:cs="Arial"/>
        </w:rPr>
        <w:t xml:space="preserve"> przedmiotu zamówienia- Wykaz pojazdów</w:t>
      </w:r>
      <w:r>
        <w:rPr>
          <w:rFonts w:cs="Arial"/>
        </w:rPr>
        <w:t xml:space="preserve">. </w:t>
      </w:r>
    </w:p>
    <w:p w:rsidR="00E70A7F" w:rsidRDefault="00D93881" w:rsidP="00D93881">
      <w:pPr>
        <w:jc w:val="both"/>
        <w:rPr>
          <w:rFonts w:cs="Arial"/>
        </w:rPr>
      </w:pPr>
      <w:r>
        <w:rPr>
          <w:rFonts w:cs="Arial"/>
          <w:b/>
          <w:u w:val="single"/>
        </w:rPr>
        <w:t>Przez  urządzenie</w:t>
      </w:r>
      <w:r>
        <w:rPr>
          <w:rFonts w:cs="Arial"/>
        </w:rPr>
        <w:t xml:space="preserve"> zamawiający rozumie</w:t>
      </w:r>
      <w:r w:rsidR="000C68F2">
        <w:rPr>
          <w:rFonts w:cs="Arial"/>
        </w:rPr>
        <w:t xml:space="preserve"> urządzenie składające się z identycznych</w:t>
      </w:r>
      <w:r>
        <w:rPr>
          <w:rFonts w:cs="Arial"/>
        </w:rPr>
        <w:t xml:space="preserve"> </w:t>
      </w:r>
      <w:r w:rsidR="000C68F2">
        <w:rPr>
          <w:rFonts w:cs="Arial"/>
        </w:rPr>
        <w:t>modułów zdefiniowanych</w:t>
      </w:r>
      <w:r w:rsidR="00D65556">
        <w:rPr>
          <w:rFonts w:cs="Arial"/>
        </w:rPr>
        <w:t xml:space="preserve"> w punkcie 2.3</w:t>
      </w:r>
      <w:r>
        <w:rPr>
          <w:rFonts w:cs="Arial"/>
        </w:rPr>
        <w:t xml:space="preserve"> niniejszej S</w:t>
      </w:r>
      <w:r w:rsidR="00D65556">
        <w:rPr>
          <w:rFonts w:cs="Arial"/>
        </w:rPr>
        <w:t>pecyfikacji technicznej</w:t>
      </w:r>
      <w:r>
        <w:rPr>
          <w:rFonts w:cs="Arial"/>
        </w:rPr>
        <w:t xml:space="preserve"> przedmiotu zamówienia</w:t>
      </w:r>
      <w:r w:rsidR="00E70A7F">
        <w:rPr>
          <w:rFonts w:cs="Arial"/>
        </w:rPr>
        <w:t xml:space="preserve"> oraz wszystkie elementy niezbędne do ich zabudowy i uruchomienia w danym pojeździe,</w:t>
      </w:r>
      <w:r w:rsidR="00D54D6A">
        <w:rPr>
          <w:rFonts w:cs="Arial"/>
        </w:rPr>
        <w:br/>
      </w:r>
      <w:r w:rsidR="00E70A7F">
        <w:rPr>
          <w:rFonts w:cs="Arial"/>
        </w:rPr>
        <w:t xml:space="preserve">w tym do podłączenia do instalacji elektrycznej (przewody elektryczne, przekaźniki, złączki, inne </w:t>
      </w:r>
      <w:r w:rsidR="00842EEC">
        <w:rPr>
          <w:rFonts w:cs="Arial"/>
        </w:rPr>
        <w:t>uznane przez Wykonawcę jako niezbędne</w:t>
      </w:r>
      <w:r>
        <w:rPr>
          <w:rFonts w:cs="Arial"/>
        </w:rPr>
        <w:t xml:space="preserve"> do prawidłowej realizacji przedmiotu zamówienia</w:t>
      </w:r>
      <w:r w:rsidR="00842EEC">
        <w:rPr>
          <w:rFonts w:cs="Arial"/>
        </w:rPr>
        <w:t>).</w:t>
      </w:r>
    </w:p>
    <w:p w:rsidR="00E70A7F" w:rsidRDefault="00E70A7F" w:rsidP="001336E5">
      <w:pPr>
        <w:jc w:val="both"/>
        <w:rPr>
          <w:rFonts w:cs="Arial"/>
        </w:rPr>
      </w:pPr>
      <w:r>
        <w:rPr>
          <w:rFonts w:cs="Arial"/>
        </w:rPr>
        <w:t xml:space="preserve">Wykonawca odpowiada za ewentualne szkody/usterki, powstałe w pojazdach </w:t>
      </w:r>
      <w:r w:rsidR="001336E5">
        <w:rPr>
          <w:rFonts w:cs="Arial"/>
        </w:rPr>
        <w:t>w wyniku niewłaściwego zamontowania</w:t>
      </w:r>
      <w:r>
        <w:rPr>
          <w:rFonts w:cs="Arial"/>
        </w:rPr>
        <w:t xml:space="preserve"> w nich urządzeń.</w:t>
      </w:r>
    </w:p>
    <w:p w:rsidR="008F31BF" w:rsidRPr="00F5010A" w:rsidRDefault="008F31BF">
      <w:pPr>
        <w:rPr>
          <w:rFonts w:cs="Arial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419"/>
        <w:gridCol w:w="8045"/>
      </w:tblGrid>
      <w:tr w:rsidR="007C5055" w:rsidRPr="00F5010A" w:rsidTr="00715226">
        <w:tc>
          <w:tcPr>
            <w:tcW w:w="1419" w:type="dxa"/>
          </w:tcPr>
          <w:p w:rsidR="007C5055" w:rsidRPr="00F5010A" w:rsidRDefault="007C5055" w:rsidP="00A255EB">
            <w:pPr>
              <w:rPr>
                <w:rFonts w:cs="Arial"/>
              </w:rPr>
            </w:pPr>
            <w:r w:rsidRPr="00F5010A">
              <w:rPr>
                <w:rFonts w:cs="Arial"/>
              </w:rPr>
              <w:t>Lp.</w:t>
            </w:r>
          </w:p>
        </w:tc>
        <w:tc>
          <w:tcPr>
            <w:tcW w:w="8045" w:type="dxa"/>
          </w:tcPr>
          <w:p w:rsidR="007C5055" w:rsidRPr="007C5055" w:rsidRDefault="007C5055" w:rsidP="00A255EB">
            <w:pPr>
              <w:rPr>
                <w:rFonts w:cs="Arial"/>
                <w:b/>
              </w:rPr>
            </w:pPr>
            <w:r w:rsidRPr="007C5055">
              <w:rPr>
                <w:rFonts w:cs="Arial"/>
                <w:b/>
              </w:rPr>
              <w:t>Opis</w:t>
            </w:r>
          </w:p>
        </w:tc>
      </w:tr>
      <w:tr w:rsidR="008F31BF" w:rsidRPr="00F5010A" w:rsidTr="00B42FBF">
        <w:tc>
          <w:tcPr>
            <w:tcW w:w="1419" w:type="dxa"/>
          </w:tcPr>
          <w:p w:rsidR="008F31BF" w:rsidRPr="00F5010A" w:rsidRDefault="007C5055" w:rsidP="00A255EB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</w:t>
            </w:r>
            <w:r w:rsidR="008F31BF" w:rsidRPr="00F5010A">
              <w:rPr>
                <w:rFonts w:cs="Arial"/>
              </w:rPr>
              <w:t>1</w:t>
            </w:r>
          </w:p>
        </w:tc>
        <w:tc>
          <w:tcPr>
            <w:tcW w:w="8045" w:type="dxa"/>
          </w:tcPr>
          <w:p w:rsidR="008F31BF" w:rsidRPr="00E837E1" w:rsidRDefault="008F31BF" w:rsidP="007C5055">
            <w:pPr>
              <w:rPr>
                <w:rFonts w:cs="Arial"/>
                <w:b/>
              </w:rPr>
            </w:pPr>
            <w:r w:rsidRPr="00E837E1">
              <w:rPr>
                <w:rFonts w:cs="Arial"/>
                <w:b/>
              </w:rPr>
              <w:t xml:space="preserve">Wymagania </w:t>
            </w:r>
            <w:r w:rsidR="007C5055">
              <w:rPr>
                <w:rFonts w:cs="Arial"/>
                <w:b/>
              </w:rPr>
              <w:t>ogólne</w:t>
            </w:r>
          </w:p>
        </w:tc>
      </w:tr>
      <w:tr w:rsidR="00842EEC" w:rsidRPr="00F5010A" w:rsidTr="00B42FBF">
        <w:tc>
          <w:tcPr>
            <w:tcW w:w="1419" w:type="dxa"/>
          </w:tcPr>
          <w:p w:rsidR="00842EEC" w:rsidRPr="00B42FBF" w:rsidRDefault="00842EEC" w:rsidP="00B42FBF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842EEC" w:rsidRPr="00A9104E" w:rsidRDefault="007C5055" w:rsidP="00B131DC">
            <w:pPr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</w:rPr>
              <w:t>Każde u</w:t>
            </w:r>
            <w:r w:rsidR="00842EEC" w:rsidRPr="00B131DC">
              <w:rPr>
                <w:rFonts w:cs="Arial"/>
              </w:rPr>
              <w:t xml:space="preserve">rządzenie musi być oznakowane certyfikatem CE </w:t>
            </w:r>
            <w:r w:rsidR="00842EEC" w:rsidRPr="00B131DC">
              <w:rPr>
                <w:rFonts w:cs="Arial"/>
                <w:shd w:val="clear" w:color="auto" w:fill="FFFFFF"/>
              </w:rPr>
              <w:t xml:space="preserve">  w celu potwierdzenia spełnienia europejskich wymagań </w:t>
            </w:r>
            <w:r w:rsidR="00D14EF8" w:rsidRPr="00B131DC">
              <w:rPr>
                <w:rFonts w:cs="Arial"/>
                <w:shd w:val="clear" w:color="auto" w:fill="FFFFFF"/>
              </w:rPr>
              <w:t>dotyczących</w:t>
            </w:r>
            <w:r w:rsidR="00842EEC" w:rsidRPr="00B131DC">
              <w:rPr>
                <w:rFonts w:cs="Arial"/>
                <w:shd w:val="clear" w:color="auto" w:fill="FFFFFF"/>
              </w:rPr>
              <w:t xml:space="preserve"> </w:t>
            </w:r>
            <w:r w:rsidR="00D14EF8" w:rsidRPr="00B131DC">
              <w:rPr>
                <w:rFonts w:cs="Arial"/>
                <w:shd w:val="clear" w:color="auto" w:fill="FFFFFF"/>
              </w:rPr>
              <w:t>dopuszczenia</w:t>
            </w:r>
            <w:r w:rsidR="00842EEC" w:rsidRPr="00B131DC">
              <w:rPr>
                <w:rFonts w:cs="Arial"/>
                <w:shd w:val="clear" w:color="auto" w:fill="FFFFFF"/>
              </w:rPr>
              <w:t xml:space="preserve"> urządzenia do obrotu na terytorium Unii Europejskiej w zakresie wykorzystania w pojazdach komunikacji miejskiej.</w:t>
            </w:r>
          </w:p>
        </w:tc>
      </w:tr>
      <w:tr w:rsidR="00842EEC" w:rsidRPr="00F5010A" w:rsidTr="00B42FBF">
        <w:tc>
          <w:tcPr>
            <w:tcW w:w="1419" w:type="dxa"/>
          </w:tcPr>
          <w:p w:rsidR="00842EEC" w:rsidRPr="00B42FBF" w:rsidRDefault="00842EEC" w:rsidP="00B42FBF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B42FBF">
              <w:rPr>
                <w:rFonts w:cs="Arial"/>
              </w:rPr>
              <w:t>:</w:t>
            </w:r>
          </w:p>
        </w:tc>
        <w:tc>
          <w:tcPr>
            <w:tcW w:w="8045" w:type="dxa"/>
          </w:tcPr>
          <w:p w:rsidR="00842EEC" w:rsidRPr="00A9104E" w:rsidRDefault="00842EEC">
            <w:pPr>
              <w:rPr>
                <w:rFonts w:cs="Arial"/>
                <w:color w:val="FF0000"/>
              </w:rPr>
            </w:pPr>
            <w:r w:rsidRPr="00B30A36">
              <w:rPr>
                <w:rFonts w:cs="Arial"/>
              </w:rPr>
              <w:t xml:space="preserve">Urządzenie musi spełniać wszystkie przepisy prawa, warunkujące dopuszczenie przedmiotu umowy na użytkowania na terenie Rzeczpospolitej Polskiej w warunkach opisanych w niniejszej specyfikacji. </w:t>
            </w:r>
          </w:p>
        </w:tc>
      </w:tr>
    </w:tbl>
    <w:p w:rsidR="00E70A7F" w:rsidRDefault="00E70A7F"/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419"/>
        <w:gridCol w:w="8045"/>
      </w:tblGrid>
      <w:tr w:rsidR="008F31BF" w:rsidRPr="00F5010A" w:rsidTr="00B42FBF">
        <w:tc>
          <w:tcPr>
            <w:tcW w:w="1419" w:type="dxa"/>
          </w:tcPr>
          <w:p w:rsidR="008F31BF" w:rsidRPr="00F5010A" w:rsidRDefault="007C5055" w:rsidP="00A255EB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</w:t>
            </w:r>
            <w:r w:rsidR="00B42FBF">
              <w:rPr>
                <w:rFonts w:cs="Arial"/>
              </w:rPr>
              <w:t>2</w:t>
            </w:r>
          </w:p>
        </w:tc>
        <w:tc>
          <w:tcPr>
            <w:tcW w:w="8045" w:type="dxa"/>
          </w:tcPr>
          <w:p w:rsidR="008F31BF" w:rsidRPr="00E837E1" w:rsidRDefault="007C5055" w:rsidP="00A255E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wymagań  technicznych</w:t>
            </w:r>
          </w:p>
        </w:tc>
      </w:tr>
      <w:tr w:rsidR="008F31BF" w:rsidRPr="00F5010A" w:rsidTr="00B42FBF">
        <w:tc>
          <w:tcPr>
            <w:tcW w:w="1419" w:type="dxa"/>
          </w:tcPr>
          <w:p w:rsidR="008F31BF" w:rsidRPr="00B42FBF" w:rsidRDefault="008F31BF" w:rsidP="00B42FBF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8F31BF" w:rsidRPr="00F5010A" w:rsidRDefault="003A7DBE" w:rsidP="00B30A36">
            <w:pPr>
              <w:pStyle w:val="Lista2"/>
              <w:numPr>
                <w:ilvl w:val="0"/>
                <w:numId w:val="0"/>
              </w:numPr>
            </w:pPr>
            <w:r>
              <w:rPr>
                <w:szCs w:val="22"/>
              </w:rPr>
              <w:t>Urządzenie musi być przystosowane do pracy w rzeczywistych warunkach eksploatacyjnych, występujących w komunikacji miejskiej miasta Lublin, a w szczególności do pracy w zakresie temperatur od -25</w:t>
            </w:r>
            <w:r>
              <w:rPr>
                <w:szCs w:val="22"/>
                <w:vertAlign w:val="superscript"/>
              </w:rPr>
              <w:t>0</w:t>
            </w:r>
            <w:r>
              <w:rPr>
                <w:szCs w:val="22"/>
              </w:rPr>
              <w:t xml:space="preserve">C  do </w:t>
            </w:r>
            <w:r w:rsidR="00B30A36">
              <w:rPr>
                <w:szCs w:val="22"/>
              </w:rPr>
              <w:t xml:space="preserve">+ </w:t>
            </w:r>
            <w:r>
              <w:rPr>
                <w:szCs w:val="22"/>
              </w:rPr>
              <w:t>45</w:t>
            </w:r>
            <w:r>
              <w:rPr>
                <w:szCs w:val="22"/>
                <w:vertAlign w:val="superscript"/>
              </w:rPr>
              <w:t>0</w:t>
            </w:r>
            <w:r>
              <w:rPr>
                <w:szCs w:val="22"/>
              </w:rPr>
              <w:t xml:space="preserve">C. Musi być odporne na warunki atmosferyczne występujące w Polsce, drgania pojazdu, </w:t>
            </w:r>
            <w:r w:rsidRPr="00B30A36">
              <w:rPr>
                <w:szCs w:val="22"/>
              </w:rPr>
              <w:t xml:space="preserve">inne nie wymienione czynniki, występujące podczas użytkowania pojazdu. </w:t>
            </w:r>
          </w:p>
        </w:tc>
      </w:tr>
      <w:tr w:rsidR="008F31BF" w:rsidRPr="00F5010A" w:rsidTr="00B42FBF">
        <w:tc>
          <w:tcPr>
            <w:tcW w:w="1419" w:type="dxa"/>
          </w:tcPr>
          <w:p w:rsidR="008F31BF" w:rsidRPr="00B42FBF" w:rsidRDefault="008F31BF" w:rsidP="00B42FBF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3A7DBE" w:rsidRDefault="003A7DBE" w:rsidP="00A910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Wymagane jest urządzenie, w którym elementem biobójczym będą promienniki UV-C:</w:t>
            </w:r>
          </w:p>
          <w:p w:rsidR="003A7DBE" w:rsidRDefault="003A7DBE" w:rsidP="00A9104E">
            <w:pPr>
              <w:pStyle w:val="Akapitzlist"/>
              <w:numPr>
                <w:ilvl w:val="0"/>
                <w:numId w:val="1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z osłoną wykonaną ze specjalnego szkła zabezpieczającego przed powstawaniem ozonu podczas promieniowania np. specjalnego szkła TUV, eliminującego powstawanie ozonu </w:t>
            </w:r>
          </w:p>
          <w:p w:rsidR="0057059F" w:rsidRDefault="0057059F" w:rsidP="00A9104E">
            <w:pPr>
              <w:pStyle w:val="Akapitzlist"/>
              <w:ind w:left="780"/>
              <w:jc w:val="both"/>
              <w:rPr>
                <w:rFonts w:cs="Arial"/>
              </w:rPr>
            </w:pPr>
            <w:r>
              <w:rPr>
                <w:rFonts w:cs="Arial"/>
              </w:rPr>
              <w:t>lub</w:t>
            </w:r>
          </w:p>
          <w:p w:rsidR="003A7DBE" w:rsidRDefault="003A7DBE" w:rsidP="00A9104E">
            <w:pPr>
              <w:pStyle w:val="Akapitzlist"/>
              <w:numPr>
                <w:ilvl w:val="0"/>
                <w:numId w:val="1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diodowe nie powodujące powstawania ozonu podczas ich pracy.</w:t>
            </w:r>
          </w:p>
          <w:p w:rsidR="003A7DBE" w:rsidRDefault="003A7DBE" w:rsidP="00A9104E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Długość fal emitowanych przez promienniki UV-C musi być ≥ 250 </w:t>
            </w:r>
            <w:proofErr w:type="spellStart"/>
            <w:r>
              <w:rPr>
                <w:rFonts w:cs="Arial"/>
                <w:b/>
              </w:rPr>
              <w:t>nm</w:t>
            </w:r>
            <w:proofErr w:type="spellEnd"/>
            <w:r>
              <w:rPr>
                <w:rFonts w:cs="Arial"/>
                <w:b/>
              </w:rPr>
              <w:t xml:space="preserve">, zalecana jest długość fal promieniowania równa 254 nm. Podczas ich pracy nie może powstawać ozon. </w:t>
            </w:r>
          </w:p>
          <w:p w:rsidR="00A912EB" w:rsidRDefault="003A7DBE" w:rsidP="00B30A36">
            <w:pPr>
              <w:jc w:val="both"/>
              <w:rPr>
                <w:rFonts w:cs="Arial"/>
              </w:rPr>
            </w:pPr>
            <w:r w:rsidRPr="007004AA">
              <w:rPr>
                <w:rFonts w:cs="Arial"/>
              </w:rPr>
              <w:t xml:space="preserve">Zamawiający podczas prac odbiorowych podda weryfikacji czy urządzenie podczas pracy nie będzie wytwarzać ozonu, za pomocą miernika </w:t>
            </w:r>
            <w:r w:rsidR="00B0522A">
              <w:rPr>
                <w:rFonts w:cs="Arial"/>
              </w:rPr>
              <w:t xml:space="preserve">do pomiaru obecności </w:t>
            </w:r>
            <w:r w:rsidRPr="007004AA">
              <w:rPr>
                <w:rFonts w:cs="Arial"/>
              </w:rPr>
              <w:t>ozonu, który Wykonawca zobowiązany jest dostarczyć Zamawiającemu przed przystąpieniem do odbioru urządzeń.</w:t>
            </w:r>
          </w:p>
          <w:p w:rsidR="00CC258D" w:rsidRPr="00F5010A" w:rsidRDefault="00F1015E" w:rsidP="00F1015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Oferowane urządzenia lub moduły muszą wykazywać </w:t>
            </w:r>
            <w:r w:rsidR="00881F08">
              <w:rPr>
                <w:rFonts w:cs="Arial"/>
              </w:rPr>
              <w:t>s</w:t>
            </w:r>
            <w:r w:rsidR="00CC258D">
              <w:rPr>
                <w:rFonts w:cs="Arial"/>
              </w:rPr>
              <w:t xml:space="preserve">kuteczność działania biobójczego w zakresie eliminowania co najmniej </w:t>
            </w:r>
            <w:r>
              <w:rPr>
                <w:rFonts w:cs="Arial"/>
              </w:rPr>
              <w:t xml:space="preserve">powszechnych </w:t>
            </w:r>
            <w:r w:rsidR="00CC258D">
              <w:rPr>
                <w:rFonts w:cs="Arial"/>
              </w:rPr>
              <w:t>drobnoustrojów</w:t>
            </w:r>
            <w:r>
              <w:rPr>
                <w:rFonts w:cs="Arial"/>
              </w:rPr>
              <w:t xml:space="preserve"> np.</w:t>
            </w:r>
            <w:r w:rsidR="00881F0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bakterie i grzyby</w:t>
            </w:r>
            <w:r w:rsidR="00881F08">
              <w:rPr>
                <w:rFonts w:cs="Arial"/>
              </w:rPr>
              <w:t>.</w:t>
            </w:r>
            <w:r w:rsidR="00CC258D">
              <w:rPr>
                <w:rFonts w:cs="Arial"/>
              </w:rPr>
              <w:t xml:space="preserve">  </w:t>
            </w:r>
          </w:p>
        </w:tc>
      </w:tr>
      <w:tr w:rsidR="00574BD4" w:rsidRPr="00F5010A" w:rsidTr="00B42FBF">
        <w:tc>
          <w:tcPr>
            <w:tcW w:w="1419" w:type="dxa"/>
          </w:tcPr>
          <w:p w:rsidR="00574BD4" w:rsidRPr="00B42FBF" w:rsidRDefault="00574BD4" w:rsidP="00B42FBF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574BD4" w:rsidRDefault="00574BD4" w:rsidP="00A910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Urządzenie musi posiadać budowę modułową. Liczba modułów</w:t>
            </w:r>
            <w:r w:rsidR="008B6890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przypadających na urządzenie zamontowane w danym pojeździe zależna jest od </w:t>
            </w:r>
            <w:r w:rsidR="005348A5">
              <w:rPr>
                <w:rFonts w:cs="Arial"/>
              </w:rPr>
              <w:t xml:space="preserve">dostępności miejsca pod ich zabudowę </w:t>
            </w:r>
            <w:r w:rsidR="008B6890">
              <w:rPr>
                <w:rFonts w:cs="Arial"/>
              </w:rPr>
              <w:t>w pojeździe</w:t>
            </w:r>
            <w:r w:rsidR="00617228">
              <w:rPr>
                <w:rFonts w:cs="Arial"/>
              </w:rPr>
              <w:t>, które zależne jest natomiast od modelu zastosowanego klimatyzatora oraz sposobu jego zabudowy w pojeździe</w:t>
            </w:r>
            <w:r w:rsidR="0072338D">
              <w:rPr>
                <w:rFonts w:cs="Arial"/>
              </w:rPr>
              <w:t xml:space="preserve">. Liczba modułów o parametrach wymaganych zgodnie z pkt. </w:t>
            </w:r>
            <w:r w:rsidR="00842EEC">
              <w:rPr>
                <w:rFonts w:cs="Arial"/>
              </w:rPr>
              <w:t>2.6</w:t>
            </w:r>
            <w:r w:rsidR="0072338D">
              <w:rPr>
                <w:rFonts w:cs="Arial"/>
              </w:rPr>
              <w:t xml:space="preserve"> niniejszej specyfikacji technicznej</w:t>
            </w:r>
            <w:r w:rsidR="00B0522A">
              <w:rPr>
                <w:rFonts w:cs="Arial"/>
              </w:rPr>
              <w:t xml:space="preserve"> przedmiotu zamówienia</w:t>
            </w:r>
            <w:r w:rsidR="0072338D">
              <w:rPr>
                <w:rFonts w:cs="Arial"/>
              </w:rPr>
              <w:t>, których montaż możliwy jest w poszczególnych modelach pojazdów</w:t>
            </w:r>
            <w:r w:rsidR="00617228">
              <w:rPr>
                <w:rFonts w:cs="Arial"/>
              </w:rPr>
              <w:t xml:space="preserve"> oraz dane klimatyzatorów, podane są w zestawieniu</w:t>
            </w:r>
            <w:r>
              <w:rPr>
                <w:rFonts w:cs="Arial"/>
              </w:rPr>
              <w:t xml:space="preserve"> pojazdów </w:t>
            </w:r>
            <w:r w:rsidR="00617228">
              <w:rPr>
                <w:rFonts w:cs="Arial"/>
              </w:rPr>
              <w:t xml:space="preserve">przeznaczonych do zamontowania w nich Urządzeń, </w:t>
            </w:r>
            <w:r>
              <w:rPr>
                <w:rFonts w:cs="Arial"/>
              </w:rPr>
              <w:t>stanowi</w:t>
            </w:r>
            <w:r w:rsidR="00617228">
              <w:rPr>
                <w:rFonts w:cs="Arial"/>
              </w:rPr>
              <w:t>ącym</w:t>
            </w:r>
            <w:r>
              <w:rPr>
                <w:rFonts w:cs="Arial"/>
              </w:rPr>
              <w:t xml:space="preserve"> załącznik nr 1 do niniejszej specyfikacji</w:t>
            </w:r>
            <w:r w:rsidR="00B0522A">
              <w:rPr>
                <w:rFonts w:cs="Arial"/>
              </w:rPr>
              <w:t xml:space="preserve"> technicznej przedmiotu zamówienia- Wykaz pojazdów</w:t>
            </w:r>
            <w:r>
              <w:rPr>
                <w:rFonts w:cs="Arial"/>
              </w:rPr>
              <w:t>.</w:t>
            </w:r>
          </w:p>
          <w:p w:rsidR="005348A5" w:rsidRDefault="00574BD4" w:rsidP="00A9104E">
            <w:pPr>
              <w:jc w:val="both"/>
              <w:rPr>
                <w:rFonts w:cs="Arial"/>
              </w:rPr>
            </w:pPr>
            <w:r w:rsidRPr="003A7DBE">
              <w:rPr>
                <w:rFonts w:cs="Arial"/>
                <w:b/>
                <w:u w:val="single"/>
              </w:rPr>
              <w:t>Definicja modułu:</w:t>
            </w:r>
            <w:r>
              <w:rPr>
                <w:rFonts w:cs="Arial"/>
              </w:rPr>
              <w:t xml:space="preserve"> Kompletna jednostka przygotowana </w:t>
            </w:r>
            <w:r w:rsidR="00842EEC">
              <w:rPr>
                <w:rFonts w:cs="Arial"/>
              </w:rPr>
              <w:t>do</w:t>
            </w:r>
            <w:r>
              <w:rPr>
                <w:rFonts w:cs="Arial"/>
              </w:rPr>
              <w:t xml:space="preserve"> montażu w miejscach </w:t>
            </w:r>
            <w:r w:rsidR="003A7DBE">
              <w:rPr>
                <w:rFonts w:cs="Arial"/>
              </w:rPr>
              <w:t xml:space="preserve">uzgodnionych z </w:t>
            </w:r>
            <w:r>
              <w:rPr>
                <w:rFonts w:cs="Arial"/>
              </w:rPr>
              <w:t>Zamawiając</w:t>
            </w:r>
            <w:r w:rsidR="003A7DBE">
              <w:rPr>
                <w:rFonts w:cs="Arial"/>
              </w:rPr>
              <w:t>ym</w:t>
            </w:r>
            <w:r>
              <w:rPr>
                <w:rFonts w:cs="Arial"/>
              </w:rPr>
              <w:t xml:space="preserve">, składająca się co najmniej z: promiennika/promienników UV-C, </w:t>
            </w:r>
            <w:r w:rsidR="0072338D">
              <w:rPr>
                <w:rFonts w:cs="Arial"/>
              </w:rPr>
              <w:t>podstawy do montażu promiennika</w:t>
            </w:r>
            <w:r>
              <w:rPr>
                <w:rFonts w:cs="Arial"/>
              </w:rPr>
              <w:t>, zasilacza, wiązki elektrycznej</w:t>
            </w:r>
            <w:r w:rsidR="005348A5">
              <w:rPr>
                <w:rFonts w:cs="Arial"/>
              </w:rPr>
              <w:t xml:space="preserve">, włącznika </w:t>
            </w:r>
            <w:r w:rsidR="0072338D">
              <w:rPr>
                <w:rFonts w:cs="Arial"/>
              </w:rPr>
              <w:t>dwupołożeniowego do wyłączenia modułu</w:t>
            </w:r>
            <w:r>
              <w:rPr>
                <w:rFonts w:cs="Arial"/>
              </w:rPr>
              <w:t>.</w:t>
            </w:r>
          </w:p>
          <w:p w:rsidR="0072338D" w:rsidRPr="00F5010A" w:rsidRDefault="005348A5" w:rsidP="00A910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Wszystkie moduły muszą posiadać identyczne promienniki</w:t>
            </w:r>
            <w:r w:rsidR="0072338D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zasilacze</w:t>
            </w:r>
            <w:r w:rsidR="00574BD4">
              <w:rPr>
                <w:rFonts w:cs="Arial"/>
              </w:rPr>
              <w:t xml:space="preserve"> </w:t>
            </w:r>
            <w:r w:rsidR="0072338D">
              <w:rPr>
                <w:rFonts w:cs="Arial"/>
              </w:rPr>
              <w:t>oraz włączniki dwupołożeniowe.</w:t>
            </w:r>
            <w:r w:rsidR="00B0522A">
              <w:rPr>
                <w:rFonts w:cs="Arial"/>
              </w:rPr>
              <w:t xml:space="preserve"> </w:t>
            </w:r>
            <w:r w:rsidR="00B0522A" w:rsidRPr="003C7703">
              <w:rPr>
                <w:rFonts w:cs="Arial"/>
              </w:rPr>
              <w:t>Moduły m</w:t>
            </w:r>
            <w:r w:rsidR="0072338D" w:rsidRPr="003C7703">
              <w:rPr>
                <w:rFonts w:cs="Arial"/>
              </w:rPr>
              <w:t xml:space="preserve">ogą się różnić pomiędzy sobą długością przewodów elektrycznych, sposobem podłączenia do instalacji elektrycznej pojazdu, wzajemnym rozmieszczeniem poszczególnych elementów modułu. </w:t>
            </w:r>
          </w:p>
        </w:tc>
      </w:tr>
      <w:tr w:rsidR="00574BD4" w:rsidRPr="00F5010A" w:rsidTr="00B42FBF">
        <w:tc>
          <w:tcPr>
            <w:tcW w:w="1419" w:type="dxa"/>
          </w:tcPr>
          <w:p w:rsidR="00574BD4" w:rsidRPr="00B42FBF" w:rsidRDefault="00574BD4" w:rsidP="00B42FBF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574BD4" w:rsidRPr="00F5010A" w:rsidRDefault="00574BD4" w:rsidP="00A9104E">
            <w:pPr>
              <w:jc w:val="both"/>
              <w:rPr>
                <w:rFonts w:cs="Arial"/>
              </w:rPr>
            </w:pPr>
            <w:r w:rsidRPr="00F5010A">
              <w:rPr>
                <w:rFonts w:cs="Arial"/>
              </w:rPr>
              <w:t>Promieniowanie wytwarzane przez promienniki UV-C musi oddziaływać biobójczo na powietrze je opływające w wymuszonym obiegu powietrza.</w:t>
            </w:r>
          </w:p>
          <w:p w:rsidR="00574BD4" w:rsidRPr="003C7703" w:rsidRDefault="003C7703" w:rsidP="00A910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Moduły</w:t>
            </w:r>
            <w:r w:rsidR="00574BD4" w:rsidRPr="00F5010A">
              <w:rPr>
                <w:rFonts w:cs="Arial"/>
              </w:rPr>
              <w:t xml:space="preserve"> UV-C</w:t>
            </w:r>
            <w:r w:rsidR="00574BD4">
              <w:rPr>
                <w:rFonts w:cs="Arial"/>
              </w:rPr>
              <w:t xml:space="preserve"> muszą być zabudowane </w:t>
            </w:r>
            <w:r w:rsidR="00574BD4" w:rsidRPr="009A66F2">
              <w:rPr>
                <w:rFonts w:cs="Arial"/>
              </w:rPr>
              <w:t xml:space="preserve">w kanałach </w:t>
            </w:r>
            <w:r w:rsidR="005348A5">
              <w:rPr>
                <w:rFonts w:cs="Arial"/>
              </w:rPr>
              <w:t xml:space="preserve">dystrybucji powietrza układów </w:t>
            </w:r>
            <w:r w:rsidR="00574BD4" w:rsidRPr="009A66F2">
              <w:rPr>
                <w:rFonts w:cs="Arial"/>
              </w:rPr>
              <w:t xml:space="preserve">klimatyzacji </w:t>
            </w:r>
            <w:r w:rsidR="005348A5">
              <w:rPr>
                <w:rFonts w:cs="Arial"/>
              </w:rPr>
              <w:t>przestrzeni pasażerskiej</w:t>
            </w:r>
            <w:r w:rsidR="00574BD4" w:rsidRPr="009A66F2">
              <w:rPr>
                <w:rFonts w:cs="Arial"/>
              </w:rPr>
              <w:t xml:space="preserve"> autobus</w:t>
            </w:r>
            <w:r w:rsidR="005348A5">
              <w:rPr>
                <w:rFonts w:cs="Arial"/>
              </w:rPr>
              <w:t>ów</w:t>
            </w:r>
            <w:r w:rsidR="00574BD4" w:rsidRPr="009A66F2">
              <w:rPr>
                <w:rFonts w:cs="Arial"/>
              </w:rPr>
              <w:t>, gdzie wymuszenie przepływu realizowane jest przez wentylatory stanowiące wyposażenie autobusu</w:t>
            </w:r>
            <w:r>
              <w:rPr>
                <w:rFonts w:cs="Arial"/>
              </w:rPr>
              <w:t xml:space="preserve"> </w:t>
            </w:r>
            <w:r w:rsidR="00574BD4" w:rsidRPr="003C7703">
              <w:rPr>
                <w:rFonts w:cs="Arial"/>
              </w:rPr>
              <w:t>w sposób eliminujący całkowicie przenikanie promieniowania UV-C do wnętrza pojazdu.</w:t>
            </w:r>
          </w:p>
          <w:p w:rsidR="001B6389" w:rsidRDefault="001B6389" w:rsidP="00A9104E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Zalecany jest montaż promienników</w:t>
            </w:r>
            <w:r w:rsidR="00A9104E">
              <w:rPr>
                <w:rFonts w:cs="Arial"/>
                <w:b/>
              </w:rPr>
              <w:t xml:space="preserve"> jak najbliżej parowników w układzie</w:t>
            </w:r>
            <w:r>
              <w:rPr>
                <w:rFonts w:cs="Arial"/>
                <w:b/>
              </w:rPr>
              <w:t xml:space="preserve"> klimatyzacji w celu uzyskania jak największego oddziaływania biobójczego promieniowania UV-C na elementy parowników.</w:t>
            </w:r>
          </w:p>
          <w:p w:rsidR="001B6389" w:rsidRDefault="001B6389" w:rsidP="00A910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Wykonawca zobowiązany jest uzgodnić z Zamawiającym na etapie realizacji umowy sposób zabudowy oraz ich podłączenia do instalacji elektrycznej pojazdu przed przystąpieniem do ich montażu w pojazdach.</w:t>
            </w:r>
          </w:p>
          <w:p w:rsidR="00574BD4" w:rsidRDefault="00574BD4" w:rsidP="003C7703">
            <w:pPr>
              <w:jc w:val="both"/>
              <w:rPr>
                <w:rFonts w:cs="Arial"/>
              </w:rPr>
            </w:pPr>
            <w:r w:rsidRPr="00F21E8F">
              <w:rPr>
                <w:rFonts w:cs="Arial"/>
              </w:rPr>
              <w:t xml:space="preserve">Zamawiający podczas odbioru podda </w:t>
            </w:r>
            <w:r w:rsidRPr="00832A75">
              <w:rPr>
                <w:rFonts w:cs="Arial"/>
              </w:rPr>
              <w:t>sprawdzeniu za pom</w:t>
            </w:r>
            <w:r w:rsidR="00A9104E">
              <w:rPr>
                <w:rFonts w:cs="Arial"/>
              </w:rPr>
              <w:t>o</w:t>
            </w:r>
            <w:r w:rsidRPr="00832A75">
              <w:rPr>
                <w:rFonts w:cs="Arial"/>
              </w:rPr>
              <w:t>cą miernika promieniowania UV-C, czy nie występuje emisja teg</w:t>
            </w:r>
            <w:r w:rsidRPr="00F21E8F">
              <w:rPr>
                <w:rFonts w:cs="Arial"/>
              </w:rPr>
              <w:t>o promieniowania do wnętrza pojazdu</w:t>
            </w:r>
            <w:r>
              <w:rPr>
                <w:rFonts w:cs="Arial"/>
              </w:rPr>
              <w:t>, który Wykonawca zobowiązany jest dostarczyć Zamawiającemu przed przystąpieniem do odbiorów</w:t>
            </w:r>
            <w:r w:rsidRPr="00F21E8F">
              <w:rPr>
                <w:rFonts w:cs="Arial"/>
              </w:rPr>
              <w:t>.</w:t>
            </w:r>
          </w:p>
          <w:p w:rsidR="00574BD4" w:rsidRPr="00F21E8F" w:rsidRDefault="00574BD4" w:rsidP="003C770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Miejsca montażu promienników muszą być oznaczone za pomocą specjalnych naklejek ostrzegawczych, ostrzegających przed pracą przy włączonym urządzeni</w:t>
            </w:r>
            <w:r w:rsidR="003C7703">
              <w:rPr>
                <w:rFonts w:cs="Arial"/>
              </w:rPr>
              <w:t>u</w:t>
            </w:r>
            <w:r>
              <w:rPr>
                <w:rFonts w:cs="Arial"/>
              </w:rPr>
              <w:t xml:space="preserve"> i promieniowani</w:t>
            </w:r>
            <w:r w:rsidR="003C7703">
              <w:rPr>
                <w:rFonts w:cs="Arial"/>
              </w:rPr>
              <w:t>u</w:t>
            </w:r>
            <w:r>
              <w:rPr>
                <w:rFonts w:cs="Arial"/>
              </w:rPr>
              <w:t xml:space="preserve"> UV-C.</w:t>
            </w:r>
          </w:p>
          <w:p w:rsidR="00574BD4" w:rsidRPr="00F5010A" w:rsidRDefault="00574BD4" w:rsidP="00574BD4">
            <w:pPr>
              <w:rPr>
                <w:rFonts w:cs="Arial"/>
              </w:rPr>
            </w:pPr>
          </w:p>
        </w:tc>
      </w:tr>
      <w:tr w:rsidR="00574BD4" w:rsidRPr="00F5010A" w:rsidTr="00B42FBF">
        <w:tc>
          <w:tcPr>
            <w:tcW w:w="1419" w:type="dxa"/>
          </w:tcPr>
          <w:p w:rsidR="00574BD4" w:rsidRPr="00B42FBF" w:rsidRDefault="00574BD4" w:rsidP="00B42FBF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574BD4" w:rsidRPr="00F5010A" w:rsidRDefault="00574BD4" w:rsidP="003C770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F5010A">
              <w:rPr>
                <w:rFonts w:cs="Arial"/>
              </w:rPr>
              <w:t>lementy urządzenia nie mogą ograniczać wydajności układów klimatyzacji lub wentylacji</w:t>
            </w:r>
            <w:r>
              <w:rPr>
                <w:rFonts w:cs="Arial"/>
              </w:rPr>
              <w:t xml:space="preserve"> oraz nie mogą mieć wpływu na ich podstawowe działanie (algorytm </w:t>
            </w:r>
            <w:r>
              <w:rPr>
                <w:rFonts w:cs="Arial"/>
              </w:rPr>
              <w:lastRenderedPageBreak/>
              <w:t>działani</w:t>
            </w:r>
            <w:r w:rsidR="003C7703">
              <w:rPr>
                <w:rFonts w:cs="Arial"/>
              </w:rPr>
              <w:t>a, wydajność, sterowanie, itp.)</w:t>
            </w:r>
            <w:r w:rsidRPr="00F5010A">
              <w:rPr>
                <w:rFonts w:cs="Arial"/>
              </w:rPr>
              <w:t>.</w:t>
            </w:r>
          </w:p>
          <w:p w:rsidR="00574BD4" w:rsidRPr="000B08A2" w:rsidRDefault="00574BD4" w:rsidP="00FC7A8B">
            <w:pPr>
              <w:rPr>
                <w:rFonts w:cs="Arial"/>
                <w:strike/>
              </w:rPr>
            </w:pPr>
          </w:p>
        </w:tc>
      </w:tr>
      <w:tr w:rsidR="00574BD4" w:rsidRPr="00F5010A" w:rsidTr="00B42FBF">
        <w:tc>
          <w:tcPr>
            <w:tcW w:w="1419" w:type="dxa"/>
          </w:tcPr>
          <w:p w:rsidR="00574BD4" w:rsidRPr="00B42FBF" w:rsidRDefault="00574BD4" w:rsidP="00B42FBF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D02DBE" w:rsidRDefault="00574BD4" w:rsidP="00C2652D">
            <w:pPr>
              <w:rPr>
                <w:rFonts w:cs="Arial"/>
              </w:rPr>
            </w:pPr>
            <w:r>
              <w:rPr>
                <w:rFonts w:cs="Arial"/>
              </w:rPr>
              <w:t>Parametry modułu:</w:t>
            </w:r>
            <w:r w:rsidR="003A7DBE">
              <w:rPr>
                <w:rFonts w:cs="Arial"/>
              </w:rPr>
              <w:t xml:space="preserve"> </w:t>
            </w:r>
          </w:p>
          <w:p w:rsidR="00574BD4" w:rsidRDefault="00574BD4" w:rsidP="00C2652D">
            <w:pPr>
              <w:rPr>
                <w:rFonts w:cs="Arial"/>
              </w:rPr>
            </w:pPr>
            <w:r>
              <w:rPr>
                <w:rFonts w:cs="Arial"/>
              </w:rPr>
              <w:t xml:space="preserve">Moc pobierana z </w:t>
            </w:r>
            <w:r w:rsidR="00892363">
              <w:rPr>
                <w:rFonts w:cs="Arial"/>
              </w:rPr>
              <w:t>instalacji elektrycznej autobusu</w:t>
            </w:r>
            <w:r>
              <w:rPr>
                <w:rFonts w:cs="Arial"/>
              </w:rPr>
              <w:t xml:space="preserve"> przez wszystkie moduły w pojeździe nie może być wyższa od </w:t>
            </w:r>
            <w:r w:rsidR="00892363">
              <w:rPr>
                <w:rFonts w:cs="Arial"/>
              </w:rPr>
              <w:t>30</w:t>
            </w:r>
            <w:r>
              <w:rPr>
                <w:rFonts w:cs="Arial"/>
              </w:rPr>
              <w:t>0 W</w:t>
            </w:r>
          </w:p>
          <w:p w:rsidR="00574BD4" w:rsidRDefault="00574BD4" w:rsidP="00C2652D">
            <w:pPr>
              <w:rPr>
                <w:rFonts w:cs="Arial"/>
              </w:rPr>
            </w:pPr>
            <w:r>
              <w:rPr>
                <w:rFonts w:cs="Arial"/>
              </w:rPr>
              <w:t>Napięcie zasilania: 24 VDC</w:t>
            </w:r>
          </w:p>
          <w:p w:rsidR="00574BD4" w:rsidRDefault="00574BD4" w:rsidP="00C2652D">
            <w:pPr>
              <w:rPr>
                <w:rFonts w:cs="Arial"/>
              </w:rPr>
            </w:pPr>
            <w:r>
              <w:rPr>
                <w:rFonts w:cs="Arial"/>
              </w:rPr>
              <w:t>Trwałość promienników ≥ 9000 h</w:t>
            </w:r>
          </w:p>
          <w:p w:rsidR="00892363" w:rsidRDefault="00892363" w:rsidP="00C2652D">
            <w:pPr>
              <w:rPr>
                <w:rFonts w:cs="Arial"/>
              </w:rPr>
            </w:pPr>
            <w:r>
              <w:rPr>
                <w:rFonts w:cs="Arial"/>
              </w:rPr>
              <w:t>Minimalna moc promieniowania UV-C jednego modułu: 12 W</w:t>
            </w:r>
          </w:p>
          <w:p w:rsidR="00574BD4" w:rsidRPr="008A2364" w:rsidRDefault="00892363" w:rsidP="00892363">
            <w:pPr>
              <w:rPr>
                <w:rFonts w:cs="Arial"/>
              </w:rPr>
            </w:pPr>
            <w:r>
              <w:rPr>
                <w:rFonts w:cs="Arial"/>
              </w:rPr>
              <w:t>Wymiary promiennika UV-C przyjęte przy obliczaniu liczby promienników, których montaż jest możliwy w poszczególnych modelach pojazdów: wysokość x szerokość x długość [mm]: 45 x 50 x 430.</w:t>
            </w:r>
          </w:p>
        </w:tc>
      </w:tr>
      <w:tr w:rsidR="00574BD4" w:rsidRPr="00F5010A" w:rsidTr="00B42FBF">
        <w:tc>
          <w:tcPr>
            <w:tcW w:w="1419" w:type="dxa"/>
          </w:tcPr>
          <w:p w:rsidR="00574BD4" w:rsidRPr="00B42FBF" w:rsidRDefault="00574BD4" w:rsidP="00B42FBF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574BD4" w:rsidRDefault="00574BD4" w:rsidP="00A9104E">
            <w:pPr>
              <w:jc w:val="both"/>
              <w:rPr>
                <w:rFonts w:cs="Arial"/>
              </w:rPr>
            </w:pPr>
            <w:r w:rsidRPr="00F5010A">
              <w:rPr>
                <w:rFonts w:cs="Arial"/>
              </w:rPr>
              <w:t>Urządzenie</w:t>
            </w:r>
            <w:r w:rsidR="00A73CD4">
              <w:rPr>
                <w:rFonts w:cs="Arial"/>
              </w:rPr>
              <w:t xml:space="preserve"> (składające się z modułów)</w:t>
            </w:r>
            <w:r w:rsidRPr="00F5010A">
              <w:rPr>
                <w:rFonts w:cs="Arial"/>
              </w:rPr>
              <w:t xml:space="preserve"> musi być przystosowane do zasilania energią elektryczną o napięciu mieszczącym się w zakresie 20 -30 VDC, z instalacji niskiego napięcia pojazdów tj. 24 V prądu stałego.</w:t>
            </w:r>
          </w:p>
          <w:p w:rsidR="00E71E4D" w:rsidRDefault="003A7DBE" w:rsidP="00A910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4062D">
              <w:rPr>
                <w:rFonts w:cs="Arial"/>
              </w:rPr>
              <w:t>rzyłączeni</w:t>
            </w:r>
            <w:r>
              <w:rPr>
                <w:rFonts w:cs="Arial"/>
              </w:rPr>
              <w:t>e</w:t>
            </w:r>
            <w:r w:rsidR="00B4062D">
              <w:rPr>
                <w:rFonts w:cs="Arial"/>
              </w:rPr>
              <w:t xml:space="preserve"> urządze</w:t>
            </w:r>
            <w:r>
              <w:rPr>
                <w:rFonts w:cs="Arial"/>
              </w:rPr>
              <w:t>ń</w:t>
            </w:r>
            <w:r w:rsidR="00B4062D">
              <w:rPr>
                <w:rFonts w:cs="Arial"/>
              </w:rPr>
              <w:t xml:space="preserve"> do instalacji elektrycznej </w:t>
            </w:r>
            <w:r w:rsidR="00A725E9">
              <w:rPr>
                <w:rFonts w:cs="Arial"/>
              </w:rPr>
              <w:t xml:space="preserve">w </w:t>
            </w:r>
            <w:r w:rsidR="00B4062D">
              <w:rPr>
                <w:rFonts w:cs="Arial"/>
              </w:rPr>
              <w:t>pojazd</w:t>
            </w:r>
            <w:r w:rsidR="00A725E9">
              <w:rPr>
                <w:rFonts w:cs="Arial"/>
              </w:rPr>
              <w:t>ach</w:t>
            </w:r>
            <w:r w:rsidR="00B4062D">
              <w:rPr>
                <w:rFonts w:cs="Arial"/>
              </w:rPr>
              <w:t xml:space="preserve"> mus</w:t>
            </w:r>
            <w:r w:rsidR="00A73CD4">
              <w:rPr>
                <w:rFonts w:cs="Arial"/>
              </w:rPr>
              <w:t>i</w:t>
            </w:r>
            <w:r w:rsidR="00B4062D">
              <w:rPr>
                <w:rFonts w:cs="Arial"/>
              </w:rPr>
              <w:t xml:space="preserve"> być dokonane w części zasilającej klimatyzator</w:t>
            </w:r>
            <w:r w:rsidR="00E75459">
              <w:rPr>
                <w:rFonts w:cs="Arial"/>
              </w:rPr>
              <w:t>y</w:t>
            </w:r>
            <w:r w:rsidR="00E71E4D">
              <w:rPr>
                <w:rFonts w:cs="Arial"/>
              </w:rPr>
              <w:t xml:space="preserve"> w sposób powodujący załączenie</w:t>
            </w:r>
            <w:r w:rsidR="00E75459">
              <w:rPr>
                <w:rFonts w:cs="Arial"/>
              </w:rPr>
              <w:t>/wyłączenie</w:t>
            </w:r>
            <w:r w:rsidR="00E71E4D">
              <w:rPr>
                <w:rFonts w:cs="Arial"/>
              </w:rPr>
              <w:t xml:space="preserve"> urządzenia po włączeniu</w:t>
            </w:r>
            <w:r w:rsidR="00E75459">
              <w:rPr>
                <w:rFonts w:cs="Arial"/>
              </w:rPr>
              <w:t>/wyłączeniu</w:t>
            </w:r>
            <w:r w:rsidR="00E71E4D">
              <w:rPr>
                <w:rFonts w:cs="Arial"/>
              </w:rPr>
              <w:t xml:space="preserve"> stacyjki. Powyższe możliwe jest na dwa sposoby</w:t>
            </w:r>
            <w:r w:rsidR="00E75459">
              <w:rPr>
                <w:rFonts w:cs="Arial"/>
              </w:rPr>
              <w:t xml:space="preserve"> i zależy</w:t>
            </w:r>
            <w:r w:rsidR="00A73CD4">
              <w:rPr>
                <w:rFonts w:cs="Arial"/>
              </w:rPr>
              <w:t xml:space="preserve"> od</w:t>
            </w:r>
            <w:r w:rsidR="00E75459">
              <w:rPr>
                <w:rFonts w:cs="Arial"/>
              </w:rPr>
              <w:t xml:space="preserve"> instalacji elektrycznej w poszczególnych modelach pojazdów</w:t>
            </w:r>
            <w:r w:rsidR="00E71E4D">
              <w:rPr>
                <w:rFonts w:cs="Arial"/>
              </w:rPr>
              <w:t>:</w:t>
            </w:r>
          </w:p>
          <w:p w:rsidR="00B4062D" w:rsidRPr="00E71E4D" w:rsidRDefault="00E71E4D" w:rsidP="00A9104E">
            <w:pPr>
              <w:pStyle w:val="Akapitzlist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do</w:t>
            </w:r>
            <w:r w:rsidR="00B4062D" w:rsidRPr="00E71E4D">
              <w:rPr>
                <w:rFonts w:cs="Arial"/>
              </w:rPr>
              <w:t xml:space="preserve"> styku </w:t>
            </w:r>
            <w:r w:rsidRPr="00E71E4D">
              <w:rPr>
                <w:rFonts w:cs="Arial"/>
              </w:rPr>
              <w:t xml:space="preserve">oznaczonego numerem 15 </w:t>
            </w:r>
            <w:r>
              <w:rPr>
                <w:rFonts w:cs="Arial"/>
              </w:rPr>
              <w:t>(</w:t>
            </w:r>
            <w:r>
              <w:rPr>
                <w:rFonts w:cs="Arial"/>
                <w:color w:val="202122"/>
                <w:sz w:val="21"/>
                <w:szCs w:val="21"/>
                <w:shd w:val="clear" w:color="auto" w:fill="FFFFFF"/>
              </w:rPr>
              <w:t>zasilanie plusem po włączeniu stacyjki), stanowiące jednocześnie zasilanie oraz sterowanie załączaniem,</w:t>
            </w:r>
          </w:p>
          <w:p w:rsidR="00B4062D" w:rsidRDefault="00E71E4D" w:rsidP="00A9104E">
            <w:pPr>
              <w:pStyle w:val="Akapitzlist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do</w:t>
            </w:r>
            <w:r w:rsidRPr="00E71E4D">
              <w:rPr>
                <w:rFonts w:cs="Arial"/>
              </w:rPr>
              <w:t xml:space="preserve"> styku </w:t>
            </w:r>
            <w:r>
              <w:rPr>
                <w:rFonts w:cs="Arial"/>
              </w:rPr>
              <w:t>oznaczonego numerem 30 (</w:t>
            </w:r>
            <w:r>
              <w:rPr>
                <w:rFonts w:cs="Arial"/>
                <w:color w:val="202122"/>
                <w:sz w:val="21"/>
                <w:szCs w:val="21"/>
                <w:shd w:val="clear" w:color="auto" w:fill="FFFFFF"/>
              </w:rPr>
              <w:t xml:space="preserve">zasilanie plusem bezpośrednio z akumulatora) </w:t>
            </w:r>
            <w:r w:rsidR="00E75459">
              <w:rPr>
                <w:rFonts w:cs="Arial"/>
                <w:color w:val="202122"/>
                <w:sz w:val="21"/>
                <w:szCs w:val="21"/>
                <w:shd w:val="clear" w:color="auto" w:fill="FFFFFF"/>
              </w:rPr>
              <w:t xml:space="preserve">- </w:t>
            </w:r>
            <w:r>
              <w:rPr>
                <w:rFonts w:cs="Arial"/>
                <w:color w:val="202122"/>
                <w:sz w:val="21"/>
                <w:szCs w:val="21"/>
                <w:shd w:val="clear" w:color="auto" w:fill="FFFFFF"/>
              </w:rPr>
              <w:t>zasilani</w:t>
            </w:r>
            <w:r w:rsidR="00E75459">
              <w:rPr>
                <w:rFonts w:cs="Arial"/>
                <w:color w:val="202122"/>
                <w:sz w:val="21"/>
                <w:szCs w:val="21"/>
                <w:shd w:val="clear" w:color="auto" w:fill="FFFFFF"/>
              </w:rPr>
              <w:t>e</w:t>
            </w:r>
            <w:r>
              <w:rPr>
                <w:rFonts w:cs="Arial"/>
                <w:color w:val="202122"/>
                <w:sz w:val="21"/>
                <w:szCs w:val="21"/>
                <w:shd w:val="clear" w:color="auto" w:fill="FFFFFF"/>
              </w:rPr>
              <w:t xml:space="preserve"> urządzenia oraz </w:t>
            </w:r>
            <w:r w:rsidR="00E75459">
              <w:rPr>
                <w:rFonts w:cs="Arial"/>
              </w:rPr>
              <w:t>do</w:t>
            </w:r>
            <w:r w:rsidR="00E75459" w:rsidRPr="00E71E4D">
              <w:rPr>
                <w:rFonts w:cs="Arial"/>
              </w:rPr>
              <w:t xml:space="preserve"> styku oznaczonego numerem 15 </w:t>
            </w:r>
            <w:r w:rsidR="00E75459">
              <w:rPr>
                <w:rFonts w:cs="Arial"/>
              </w:rPr>
              <w:t>(</w:t>
            </w:r>
            <w:r w:rsidR="00E75459">
              <w:rPr>
                <w:rFonts w:cs="Arial"/>
                <w:color w:val="202122"/>
                <w:sz w:val="21"/>
                <w:szCs w:val="21"/>
                <w:shd w:val="clear" w:color="auto" w:fill="FFFFFF"/>
              </w:rPr>
              <w:t xml:space="preserve">zasilanie plusem po włączeniu stacyjki) – zasilanie </w:t>
            </w:r>
            <w:r>
              <w:rPr>
                <w:rFonts w:cs="Arial"/>
                <w:color w:val="202122"/>
                <w:sz w:val="21"/>
                <w:szCs w:val="21"/>
                <w:shd w:val="clear" w:color="auto" w:fill="FFFFFF"/>
              </w:rPr>
              <w:t>przekaźnik</w:t>
            </w:r>
            <w:r w:rsidR="00E75459">
              <w:rPr>
                <w:rFonts w:cs="Arial"/>
                <w:color w:val="202122"/>
                <w:sz w:val="21"/>
                <w:szCs w:val="21"/>
                <w:shd w:val="clear" w:color="auto" w:fill="FFFFFF"/>
              </w:rPr>
              <w:t>a</w:t>
            </w:r>
            <w:r>
              <w:rPr>
                <w:rFonts w:cs="Arial"/>
                <w:color w:val="202122"/>
                <w:sz w:val="21"/>
                <w:szCs w:val="21"/>
                <w:shd w:val="clear" w:color="auto" w:fill="FFFFFF"/>
              </w:rPr>
              <w:t xml:space="preserve"> sterując</w:t>
            </w:r>
            <w:r w:rsidR="00E75459">
              <w:rPr>
                <w:rFonts w:cs="Arial"/>
                <w:color w:val="202122"/>
                <w:sz w:val="21"/>
                <w:szCs w:val="21"/>
                <w:shd w:val="clear" w:color="auto" w:fill="FFFFFF"/>
              </w:rPr>
              <w:t>ego</w:t>
            </w:r>
            <w:r>
              <w:rPr>
                <w:rFonts w:cs="Arial"/>
                <w:color w:val="202122"/>
                <w:sz w:val="21"/>
                <w:szCs w:val="21"/>
                <w:shd w:val="clear" w:color="auto" w:fill="FFFFFF"/>
              </w:rPr>
              <w:t xml:space="preserve"> załączaniem </w:t>
            </w:r>
            <w:r w:rsidR="00E75459">
              <w:rPr>
                <w:rFonts w:cs="Arial"/>
                <w:color w:val="202122"/>
                <w:sz w:val="21"/>
                <w:szCs w:val="21"/>
                <w:shd w:val="clear" w:color="auto" w:fill="FFFFFF"/>
              </w:rPr>
              <w:t>urządzenia,</w:t>
            </w:r>
          </w:p>
          <w:p w:rsidR="00E71E4D" w:rsidRDefault="00E75459" w:rsidP="00A9104E">
            <w:pPr>
              <w:jc w:val="both"/>
              <w:rPr>
                <w:rFonts w:cs="Arial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</w:rPr>
              <w:t xml:space="preserve">Oznaczenie styków </w:t>
            </w:r>
            <w:r w:rsidR="00E71E4D" w:rsidRPr="00E71E4D">
              <w:rPr>
                <w:rFonts w:cs="Arial"/>
              </w:rPr>
              <w:t xml:space="preserve">zgodnie z normą </w:t>
            </w:r>
            <w:r w:rsidR="00E71E4D" w:rsidRPr="00432331">
              <w:rPr>
                <w:rFonts w:cs="Arial"/>
                <w:bCs/>
                <w:color w:val="202122"/>
                <w:sz w:val="21"/>
                <w:szCs w:val="21"/>
                <w:shd w:val="clear" w:color="auto" w:fill="FFFFFF"/>
              </w:rPr>
              <w:t>DIN 72552</w:t>
            </w:r>
            <w:r w:rsidR="00432331">
              <w:rPr>
                <w:rFonts w:cs="Arial"/>
                <w:bCs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E71E4D" w:rsidRPr="00432331">
              <w:rPr>
                <w:rFonts w:cs="Arial"/>
                <w:color w:val="202122"/>
                <w:sz w:val="21"/>
                <w:szCs w:val="21"/>
                <w:shd w:val="clear" w:color="auto" w:fill="FFFFFF"/>
              </w:rPr>
              <w:t>–</w:t>
            </w:r>
            <w:r w:rsidR="00E71E4D" w:rsidRPr="00E71E4D">
              <w:rPr>
                <w:rFonts w:cs="Arial"/>
                <w:color w:val="202122"/>
                <w:sz w:val="21"/>
                <w:szCs w:val="21"/>
                <w:shd w:val="clear" w:color="auto" w:fill="FFFFFF"/>
              </w:rPr>
              <w:t xml:space="preserve"> normą </w:t>
            </w:r>
            <w:r w:rsidR="00432331">
              <w:rPr>
                <w:rFonts w:cs="Arial"/>
                <w:color w:val="202122"/>
                <w:sz w:val="21"/>
                <w:szCs w:val="21"/>
                <w:shd w:val="clear" w:color="auto" w:fill="FFFFFF"/>
              </w:rPr>
              <w:t>o</w:t>
            </w:r>
            <w:r w:rsidR="00E71E4D" w:rsidRPr="00E71E4D">
              <w:rPr>
                <w:rFonts w:cs="Arial"/>
                <w:color w:val="202122"/>
                <w:sz w:val="21"/>
                <w:szCs w:val="21"/>
                <w:shd w:val="clear" w:color="auto" w:fill="FFFFFF"/>
              </w:rPr>
              <w:t>pisującą styki elektryczne w samochodach za pomocą kodów numerowo-literowych.</w:t>
            </w:r>
          </w:p>
          <w:p w:rsidR="00432331" w:rsidRPr="00432331" w:rsidRDefault="00432331" w:rsidP="00A9104E">
            <w:pPr>
              <w:jc w:val="both"/>
              <w:rPr>
                <w:rFonts w:cs="Arial"/>
                <w:color w:val="202122"/>
                <w:sz w:val="21"/>
                <w:szCs w:val="21"/>
                <w:shd w:val="clear" w:color="auto" w:fill="FFFFFF"/>
              </w:rPr>
            </w:pPr>
            <w:r w:rsidRPr="00432331">
              <w:rPr>
                <w:rFonts w:cs="Arial"/>
                <w:color w:val="202122"/>
                <w:sz w:val="21"/>
                <w:szCs w:val="21"/>
                <w:shd w:val="clear" w:color="auto" w:fill="FFFFFF"/>
              </w:rPr>
              <w:t xml:space="preserve">Przewody </w:t>
            </w:r>
            <w:r>
              <w:rPr>
                <w:rFonts w:cs="Arial"/>
                <w:color w:val="202122"/>
                <w:sz w:val="21"/>
                <w:szCs w:val="21"/>
                <w:shd w:val="clear" w:color="auto" w:fill="FFFFFF"/>
              </w:rPr>
              <w:t>wysokonapięciowe (o napięciu &gt; 60 V) występujące w instalacji elektrycznej urządzeń muszą być oznaczone kolorem żółtym lub pomarańczowym.</w:t>
            </w:r>
          </w:p>
          <w:p w:rsidR="00E75459" w:rsidRPr="00E75459" w:rsidRDefault="00E75459" w:rsidP="00A9104E">
            <w:pPr>
              <w:jc w:val="both"/>
              <w:rPr>
                <w:rFonts w:cs="Arial"/>
                <w:b/>
              </w:rPr>
            </w:pPr>
            <w:r w:rsidRPr="00E75459">
              <w:rPr>
                <w:rFonts w:cs="Arial"/>
                <w:b/>
                <w:color w:val="202122"/>
                <w:sz w:val="21"/>
                <w:szCs w:val="21"/>
                <w:shd w:val="clear" w:color="auto" w:fill="FFFFFF"/>
              </w:rPr>
              <w:t xml:space="preserve">Wykonawca zobowiązany jest na etapie realizacji </w:t>
            </w:r>
            <w:r>
              <w:rPr>
                <w:rFonts w:cs="Arial"/>
                <w:b/>
                <w:color w:val="202122"/>
                <w:sz w:val="21"/>
                <w:szCs w:val="21"/>
                <w:shd w:val="clear" w:color="auto" w:fill="FFFFFF"/>
              </w:rPr>
              <w:t xml:space="preserve">umowy – przed przystąpieniem do montażu urządzeń w pojazdach, </w:t>
            </w:r>
            <w:r w:rsidRPr="00E75459">
              <w:rPr>
                <w:rFonts w:cs="Arial"/>
                <w:b/>
                <w:color w:val="202122"/>
                <w:sz w:val="21"/>
                <w:szCs w:val="21"/>
                <w:shd w:val="clear" w:color="auto" w:fill="FFFFFF"/>
              </w:rPr>
              <w:t>uzgodnić z Zamawiającym sposób podłączenia urządzeń do instalacji elektrycznej w poszczególnych modelach pojazdów.</w:t>
            </w:r>
            <w:r>
              <w:rPr>
                <w:rFonts w:cs="Arial"/>
                <w:b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574BD4" w:rsidRPr="00F5010A" w:rsidTr="00B42FBF">
        <w:tc>
          <w:tcPr>
            <w:tcW w:w="1419" w:type="dxa"/>
          </w:tcPr>
          <w:p w:rsidR="00574BD4" w:rsidRPr="00B42FBF" w:rsidRDefault="00574BD4" w:rsidP="00B42FBF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A725E9" w:rsidRDefault="00A725E9" w:rsidP="00A910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Wykonawca zobowiązany jest dostarczyć wraz z urządzeniem:</w:t>
            </w:r>
          </w:p>
          <w:p w:rsidR="00A725E9" w:rsidRPr="00A73CD4" w:rsidRDefault="00A725E9" w:rsidP="00A73CD4">
            <w:pPr>
              <w:pStyle w:val="Akapitzlist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A73CD4">
              <w:rPr>
                <w:rFonts w:cs="Arial"/>
              </w:rPr>
              <w:t>dokumentację zawierającą: instrukcję obsługi, opis budowy urządze</w:t>
            </w:r>
            <w:r w:rsidR="00A73CD4" w:rsidRPr="00A73CD4">
              <w:rPr>
                <w:rFonts w:cs="Arial"/>
              </w:rPr>
              <w:t>ń, wykaz czynności obsługowych</w:t>
            </w:r>
            <w:r w:rsidRPr="00A73CD4">
              <w:rPr>
                <w:rFonts w:cs="Arial"/>
              </w:rPr>
              <w:t>, instrukcje naprawy, wykaz części zamiennych, zasady bezpiecznej eksploatacji, karty gwarancyjne wydane oddzielnie dla każdego urządzenia.</w:t>
            </w:r>
          </w:p>
          <w:p w:rsidR="0098459F" w:rsidRPr="00A73CD4" w:rsidRDefault="0098459F" w:rsidP="00A73CD4">
            <w:pPr>
              <w:pStyle w:val="Akapitzlist"/>
              <w:numPr>
                <w:ilvl w:val="0"/>
                <w:numId w:val="13"/>
              </w:numPr>
              <w:rPr>
                <w:rFonts w:cs="Arial"/>
              </w:rPr>
            </w:pPr>
            <w:r w:rsidRPr="00A73CD4">
              <w:rPr>
                <w:rFonts w:cs="Arial"/>
              </w:rPr>
              <w:t>miernik do pomiaru obecności ozonu o parametrach:</w:t>
            </w:r>
          </w:p>
          <w:p w:rsidR="0098459F" w:rsidRPr="00464554" w:rsidRDefault="0098459F" w:rsidP="00A73CD4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464554">
              <w:rPr>
                <w:rFonts w:cs="Arial"/>
              </w:rPr>
              <w:t xml:space="preserve">zakres pomiarowy nie mniejszy od:0 – 5,000 </w:t>
            </w:r>
            <w:proofErr w:type="spellStart"/>
            <w:r w:rsidRPr="00464554">
              <w:rPr>
                <w:rFonts w:cs="Arial"/>
              </w:rPr>
              <w:t>ppm</w:t>
            </w:r>
            <w:proofErr w:type="spellEnd"/>
          </w:p>
          <w:p w:rsidR="0098459F" w:rsidRPr="00464554" w:rsidRDefault="0098459F" w:rsidP="00A73CD4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464554">
              <w:rPr>
                <w:rFonts w:cs="Arial"/>
              </w:rPr>
              <w:t xml:space="preserve">rozdzielczość nie </w:t>
            </w:r>
            <w:r w:rsidRPr="00341197">
              <w:rPr>
                <w:rFonts w:cs="Arial"/>
              </w:rPr>
              <w:t>mniejsza</w:t>
            </w:r>
            <w:r w:rsidRPr="00464554">
              <w:rPr>
                <w:rFonts w:cs="Arial"/>
              </w:rPr>
              <w:t xml:space="preserve"> od: 0,001 </w:t>
            </w:r>
            <w:proofErr w:type="spellStart"/>
            <w:r w:rsidRPr="00464554">
              <w:rPr>
                <w:rFonts w:cs="Arial"/>
              </w:rPr>
              <w:t>ppm</w:t>
            </w:r>
            <w:proofErr w:type="spellEnd"/>
          </w:p>
          <w:p w:rsidR="0098459F" w:rsidRPr="00464554" w:rsidRDefault="0098459F" w:rsidP="00A73CD4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464554">
              <w:rPr>
                <w:rFonts w:cs="Arial"/>
              </w:rPr>
              <w:t>wyposażony w wyświetlacz ciekłokrystaliczny</w:t>
            </w:r>
          </w:p>
          <w:p w:rsidR="0098459F" w:rsidRPr="00464554" w:rsidRDefault="0098459F" w:rsidP="00A73CD4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464554">
              <w:rPr>
                <w:rFonts w:cs="Arial"/>
              </w:rPr>
              <w:t xml:space="preserve">zasilanie z baterii </w:t>
            </w:r>
            <w:proofErr w:type="spellStart"/>
            <w:r w:rsidRPr="00464554">
              <w:rPr>
                <w:rFonts w:cs="Arial"/>
              </w:rPr>
              <w:t>litowo</w:t>
            </w:r>
            <w:proofErr w:type="spellEnd"/>
            <w:r w:rsidRPr="00464554">
              <w:rPr>
                <w:rFonts w:cs="Arial"/>
              </w:rPr>
              <w:t>-jonowej</w:t>
            </w:r>
          </w:p>
          <w:p w:rsidR="0098459F" w:rsidRPr="00A73CD4" w:rsidRDefault="0098459F" w:rsidP="00A73CD4">
            <w:pPr>
              <w:pStyle w:val="Akapitzlist"/>
              <w:numPr>
                <w:ilvl w:val="0"/>
                <w:numId w:val="13"/>
              </w:numPr>
              <w:rPr>
                <w:rFonts w:cs="Arial"/>
              </w:rPr>
            </w:pPr>
            <w:r w:rsidRPr="00A73CD4">
              <w:rPr>
                <w:rFonts w:cs="Arial"/>
              </w:rPr>
              <w:t>miernik do pomiaru promieniowania UV-C o parametrach:</w:t>
            </w:r>
          </w:p>
          <w:p w:rsidR="0098459F" w:rsidRPr="00464554" w:rsidRDefault="0098459F" w:rsidP="00A73CD4">
            <w:pPr>
              <w:pStyle w:val="Akapitzlist"/>
              <w:numPr>
                <w:ilvl w:val="0"/>
                <w:numId w:val="12"/>
              </w:numPr>
              <w:rPr>
                <w:rFonts w:cs="Arial"/>
              </w:rPr>
            </w:pPr>
            <w:r w:rsidRPr="00464554">
              <w:rPr>
                <w:rFonts w:cs="Arial"/>
              </w:rPr>
              <w:t xml:space="preserve">zakres pomiarowy nie mniejszy od: 220 – 275 </w:t>
            </w:r>
            <w:proofErr w:type="spellStart"/>
            <w:r w:rsidRPr="00464554">
              <w:rPr>
                <w:rFonts w:cs="Arial"/>
              </w:rPr>
              <w:t>nm</w:t>
            </w:r>
            <w:proofErr w:type="spellEnd"/>
          </w:p>
          <w:p w:rsidR="0098459F" w:rsidRPr="00464554" w:rsidRDefault="0098459F" w:rsidP="0098459F">
            <w:pPr>
              <w:pStyle w:val="Akapitzlist"/>
              <w:numPr>
                <w:ilvl w:val="0"/>
                <w:numId w:val="12"/>
              </w:numPr>
              <w:rPr>
                <w:rFonts w:cs="Arial"/>
              </w:rPr>
            </w:pPr>
            <w:r w:rsidRPr="00464554">
              <w:rPr>
                <w:rFonts w:cs="Arial"/>
              </w:rPr>
              <w:t xml:space="preserve">punkt kalibracji czujnika: 254 </w:t>
            </w:r>
            <w:proofErr w:type="spellStart"/>
            <w:r w:rsidRPr="00464554">
              <w:rPr>
                <w:rFonts w:cs="Arial"/>
              </w:rPr>
              <w:t>nm</w:t>
            </w:r>
            <w:proofErr w:type="spellEnd"/>
          </w:p>
          <w:p w:rsidR="00574BD4" w:rsidRPr="0098459F" w:rsidRDefault="0098459F" w:rsidP="0098459F">
            <w:pPr>
              <w:pStyle w:val="Akapitzlist"/>
              <w:numPr>
                <w:ilvl w:val="0"/>
                <w:numId w:val="12"/>
              </w:numPr>
              <w:rPr>
                <w:rFonts w:cs="Arial"/>
              </w:rPr>
            </w:pPr>
            <w:r w:rsidRPr="0098459F">
              <w:rPr>
                <w:rFonts w:cs="Arial"/>
              </w:rPr>
              <w:t>próbkowanie nie mniejsze od: 3 razy na sekundę</w:t>
            </w:r>
          </w:p>
        </w:tc>
      </w:tr>
      <w:tr w:rsidR="00574BD4" w:rsidRPr="00F5010A" w:rsidTr="00B42FBF">
        <w:tc>
          <w:tcPr>
            <w:tcW w:w="1419" w:type="dxa"/>
          </w:tcPr>
          <w:p w:rsidR="00574BD4" w:rsidRPr="00B42FBF" w:rsidRDefault="00574BD4" w:rsidP="00B42FBF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574BD4" w:rsidRPr="008E1094" w:rsidRDefault="00FA4954" w:rsidP="009845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Sterowanie pracą urządzenia:</w:t>
            </w:r>
          </w:p>
          <w:p w:rsidR="00574BD4" w:rsidRDefault="00574BD4" w:rsidP="0098459F">
            <w:pPr>
              <w:pStyle w:val="Akapitzlist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008E1094">
              <w:rPr>
                <w:rFonts w:cs="Arial"/>
              </w:rPr>
              <w:t>załączenie</w:t>
            </w:r>
            <w:r>
              <w:rPr>
                <w:rFonts w:cs="Arial"/>
              </w:rPr>
              <w:t>/wyłączenie</w:t>
            </w:r>
            <w:r w:rsidRPr="008E1094">
              <w:rPr>
                <w:rFonts w:cs="Arial"/>
              </w:rPr>
              <w:t xml:space="preserve"> następuje automatycznie </w:t>
            </w:r>
            <w:r>
              <w:rPr>
                <w:rFonts w:cs="Arial"/>
              </w:rPr>
              <w:t xml:space="preserve">po włączeniu/wyłączeniu stacyjki </w:t>
            </w:r>
            <w:r w:rsidR="00FA4954">
              <w:rPr>
                <w:rFonts w:cs="Arial"/>
              </w:rPr>
              <w:t>w pojeździe</w:t>
            </w:r>
            <w:r>
              <w:rPr>
                <w:rFonts w:cs="Arial"/>
              </w:rPr>
              <w:t>.</w:t>
            </w:r>
            <w:r w:rsidR="00FA4954">
              <w:rPr>
                <w:rFonts w:cs="Arial"/>
              </w:rPr>
              <w:t xml:space="preserve"> Urządzenie jest uruchomione i pracuje w sposób ciągły zawsze po włączeniu stacyjki,</w:t>
            </w:r>
          </w:p>
          <w:p w:rsidR="00574BD4" w:rsidRPr="00F5010A" w:rsidRDefault="00FA4954" w:rsidP="0098459F">
            <w:pPr>
              <w:pStyle w:val="Akapitzlist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każdy moduł posiada włącznik dwupołożeniowy, który umożliwia </w:t>
            </w:r>
            <w:r w:rsidRPr="00832A75">
              <w:rPr>
                <w:rFonts w:cs="Arial"/>
              </w:rPr>
              <w:lastRenderedPageBreak/>
              <w:t xml:space="preserve">obsłudze </w:t>
            </w:r>
            <w:r w:rsidR="009E4F98" w:rsidRPr="00832A75">
              <w:rPr>
                <w:rFonts w:cs="Arial"/>
              </w:rPr>
              <w:t xml:space="preserve">jego </w:t>
            </w:r>
            <w:r w:rsidRPr="00832A75">
              <w:rPr>
                <w:rFonts w:cs="Arial"/>
              </w:rPr>
              <w:t>wyłączenie/załączenie</w:t>
            </w:r>
            <w:r w:rsidR="00832A75" w:rsidRPr="00832A75">
              <w:rPr>
                <w:rFonts w:cs="Arial"/>
              </w:rPr>
              <w:t xml:space="preserve"> po otwarciu klap w trybie serwisowym.</w:t>
            </w:r>
          </w:p>
        </w:tc>
      </w:tr>
      <w:tr w:rsidR="00574BD4" w:rsidRPr="00F5010A" w:rsidTr="00B42FBF">
        <w:tc>
          <w:tcPr>
            <w:tcW w:w="1419" w:type="dxa"/>
          </w:tcPr>
          <w:p w:rsidR="00574BD4" w:rsidRPr="00B42FBF" w:rsidRDefault="00574BD4" w:rsidP="00B42FBF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574BD4" w:rsidRPr="00F5010A" w:rsidRDefault="00574BD4" w:rsidP="0098459F">
            <w:pPr>
              <w:jc w:val="both"/>
              <w:rPr>
                <w:rFonts w:cs="Arial"/>
              </w:rPr>
            </w:pPr>
            <w:r w:rsidRPr="00F5010A">
              <w:rPr>
                <w:rFonts w:cs="Arial"/>
              </w:rPr>
              <w:t>Urządzenie</w:t>
            </w:r>
            <w:r w:rsidR="00A73CD4">
              <w:rPr>
                <w:rFonts w:cs="Arial"/>
              </w:rPr>
              <w:t xml:space="preserve"> (składające się z modułów)</w:t>
            </w:r>
            <w:r w:rsidRPr="00F5010A">
              <w:rPr>
                <w:rFonts w:cs="Arial"/>
              </w:rPr>
              <w:t xml:space="preserve"> nie może </w:t>
            </w:r>
            <w:r>
              <w:rPr>
                <w:rFonts w:cs="Arial"/>
              </w:rPr>
              <w:t xml:space="preserve">powodować </w:t>
            </w:r>
            <w:r w:rsidRPr="00F5010A">
              <w:rPr>
                <w:rFonts w:cs="Arial"/>
              </w:rPr>
              <w:t>podwyższ</w:t>
            </w:r>
            <w:r>
              <w:rPr>
                <w:rFonts w:cs="Arial"/>
              </w:rPr>
              <w:t>enia</w:t>
            </w:r>
            <w:r w:rsidRPr="00F5010A">
              <w:rPr>
                <w:rFonts w:cs="Arial"/>
              </w:rPr>
              <w:t xml:space="preserve"> temperatury w układzie klimatyzacji.</w:t>
            </w:r>
          </w:p>
        </w:tc>
      </w:tr>
      <w:tr w:rsidR="00574BD4" w:rsidRPr="00F5010A" w:rsidTr="00B42FBF">
        <w:tc>
          <w:tcPr>
            <w:tcW w:w="1419" w:type="dxa"/>
          </w:tcPr>
          <w:p w:rsidR="00574BD4" w:rsidRPr="00B42FBF" w:rsidRDefault="00574BD4" w:rsidP="00B42FBF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3A1594" w:rsidRPr="008758EB" w:rsidRDefault="00574BD4" w:rsidP="007F239D">
            <w:pPr>
              <w:pStyle w:val="Lista2"/>
              <w:numPr>
                <w:ilvl w:val="0"/>
                <w:numId w:val="0"/>
              </w:numPr>
              <w:ind w:left="360"/>
              <w:rPr>
                <w:szCs w:val="22"/>
              </w:rPr>
            </w:pPr>
            <w:r>
              <w:rPr>
                <w:szCs w:val="22"/>
              </w:rPr>
              <w:t>Montaż urządzeń realizowany będzie na terenie zajezdni MPK Lublin</w:t>
            </w:r>
            <w:r w:rsidR="007F239D">
              <w:rPr>
                <w:szCs w:val="22"/>
              </w:rPr>
              <w:t xml:space="preserve"> przy ul. Antoniny </w:t>
            </w:r>
            <w:proofErr w:type="spellStart"/>
            <w:r w:rsidR="007F239D">
              <w:rPr>
                <w:szCs w:val="22"/>
              </w:rPr>
              <w:t>Grygowej</w:t>
            </w:r>
            <w:proofErr w:type="spellEnd"/>
            <w:r w:rsidR="007F239D">
              <w:rPr>
                <w:szCs w:val="22"/>
              </w:rPr>
              <w:t xml:space="preserve"> 56 </w:t>
            </w:r>
            <w:proofErr w:type="spellStart"/>
            <w:r w:rsidR="007F239D">
              <w:rPr>
                <w:szCs w:val="22"/>
              </w:rPr>
              <w:t>pouzgodnieniu</w:t>
            </w:r>
            <w:proofErr w:type="spellEnd"/>
            <w:r w:rsidR="007F239D">
              <w:rPr>
                <w:szCs w:val="22"/>
              </w:rPr>
              <w:t xml:space="preserve"> terminu z MPK Lublin.</w:t>
            </w:r>
          </w:p>
        </w:tc>
      </w:tr>
      <w:tr w:rsidR="00574BD4" w:rsidRPr="00F5010A" w:rsidTr="00B42FBF">
        <w:tc>
          <w:tcPr>
            <w:tcW w:w="1419" w:type="dxa"/>
          </w:tcPr>
          <w:p w:rsidR="00574BD4" w:rsidRPr="00B42FBF" w:rsidRDefault="00574BD4" w:rsidP="00B42FBF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CC258D" w:rsidRPr="00CC258D" w:rsidRDefault="00574BD4" w:rsidP="00CC258D">
            <w:pPr>
              <w:pStyle w:val="Lista2"/>
              <w:numPr>
                <w:ilvl w:val="0"/>
                <w:numId w:val="0"/>
              </w:numPr>
              <w:tabs>
                <w:tab w:val="clear" w:pos="567"/>
                <w:tab w:val="left" w:pos="141"/>
              </w:tabs>
              <w:ind w:left="792" w:hanging="432"/>
              <w:rPr>
                <w:szCs w:val="22"/>
              </w:rPr>
            </w:pPr>
            <w:r w:rsidRPr="00F5010A">
              <w:rPr>
                <w:szCs w:val="22"/>
              </w:rPr>
              <w:t>Urządzenie</w:t>
            </w:r>
            <w:r w:rsidR="00A73CD4">
              <w:rPr>
                <w:szCs w:val="22"/>
              </w:rPr>
              <w:t xml:space="preserve"> (składające się z modułów)</w:t>
            </w:r>
            <w:r w:rsidRPr="00F5010A">
              <w:rPr>
                <w:szCs w:val="22"/>
              </w:rPr>
              <w:t xml:space="preserve"> nie może wytwarzać hałasu.</w:t>
            </w:r>
          </w:p>
          <w:p w:rsidR="00574BD4" w:rsidRPr="00F5010A" w:rsidRDefault="00574BD4" w:rsidP="00A255EB">
            <w:pPr>
              <w:rPr>
                <w:rFonts w:cs="Arial"/>
              </w:rPr>
            </w:pPr>
          </w:p>
        </w:tc>
      </w:tr>
      <w:tr w:rsidR="003A68DE" w:rsidRPr="00F5010A" w:rsidTr="00B42FBF">
        <w:tc>
          <w:tcPr>
            <w:tcW w:w="1419" w:type="dxa"/>
          </w:tcPr>
          <w:p w:rsidR="003A68DE" w:rsidRPr="00B42FBF" w:rsidRDefault="003A68DE" w:rsidP="00B42FBF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3A68DE" w:rsidRDefault="003A68DE" w:rsidP="00A910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Wykonawca zobowiązany jest do udzielenia autoryzacji wewnętrznej Zamawiającemu lub podmiotowi wskazanemu przez Zamawiającego na wykonywanie napraw i czynności obsługowych urządzeń. </w:t>
            </w:r>
          </w:p>
          <w:p w:rsidR="003A68DE" w:rsidRDefault="003A68DE" w:rsidP="00A910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Wykonawca przeszkoli </w:t>
            </w:r>
            <w:r w:rsidR="007F239D">
              <w:rPr>
                <w:rFonts w:cs="Arial"/>
              </w:rPr>
              <w:t>2 osoby</w:t>
            </w:r>
            <w:bookmarkStart w:id="0" w:name="_GoBack"/>
            <w:bookmarkEnd w:id="0"/>
            <w:r>
              <w:rPr>
                <w:rFonts w:cs="Arial"/>
              </w:rPr>
              <w:t xml:space="preserve"> w zakresie wykonywania czynności obsługowo – naprawczych w ramach udzielonej autoryzacji.  </w:t>
            </w:r>
          </w:p>
          <w:p w:rsidR="003A68DE" w:rsidRDefault="003A68DE">
            <w:pPr>
              <w:rPr>
                <w:rFonts w:cs="Arial"/>
                <w:strike/>
              </w:rPr>
            </w:pPr>
          </w:p>
        </w:tc>
      </w:tr>
      <w:tr w:rsidR="003A68DE" w:rsidRPr="00F5010A" w:rsidTr="00B42FBF">
        <w:tc>
          <w:tcPr>
            <w:tcW w:w="1419" w:type="dxa"/>
          </w:tcPr>
          <w:p w:rsidR="003A68DE" w:rsidRPr="00B42FBF" w:rsidRDefault="003A68DE" w:rsidP="00B42FBF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3A68DE" w:rsidRDefault="003A68DE" w:rsidP="003A68DE">
            <w:pPr>
              <w:rPr>
                <w:rFonts w:cs="Arial"/>
              </w:rPr>
            </w:pPr>
            <w:r>
              <w:rPr>
                <w:rFonts w:cs="Arial"/>
              </w:rPr>
              <w:t xml:space="preserve">Wykonawca udziela 2 letniej gwarancji na urządzenia, która musi obejmować wszystkie jego komponenty bez </w:t>
            </w:r>
            <w:proofErr w:type="spellStart"/>
            <w:r>
              <w:rPr>
                <w:rFonts w:cs="Arial"/>
              </w:rPr>
              <w:t>wyłączeń</w:t>
            </w:r>
            <w:proofErr w:type="spellEnd"/>
            <w:r>
              <w:rPr>
                <w:rFonts w:cs="Arial"/>
              </w:rPr>
              <w:t xml:space="preserve">, wynikających na przykład ze zużycia eksploatacyjnego.  </w:t>
            </w:r>
          </w:p>
        </w:tc>
      </w:tr>
      <w:tr w:rsidR="003A68DE" w:rsidRPr="00F5010A" w:rsidTr="00B42FBF">
        <w:tc>
          <w:tcPr>
            <w:tcW w:w="1419" w:type="dxa"/>
          </w:tcPr>
          <w:p w:rsidR="003A68DE" w:rsidRPr="00B42FBF" w:rsidRDefault="003A68DE" w:rsidP="00B42FBF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3A68DE" w:rsidRDefault="003A68DE" w:rsidP="0098459F">
            <w:pPr>
              <w:rPr>
                <w:rFonts w:cs="Arial"/>
              </w:rPr>
            </w:pPr>
            <w:r>
              <w:rPr>
                <w:rFonts w:cs="Arial"/>
              </w:rPr>
              <w:t>Wykonawca zobowiązany jest do zabezpieczenia dostępności części zamiennych w okresie gwarancji oraz po jej upływie przez</w:t>
            </w:r>
            <w:r w:rsidR="0098459F">
              <w:rPr>
                <w:rFonts w:cs="Arial"/>
              </w:rPr>
              <w:t xml:space="preserve"> co najmniej</w:t>
            </w:r>
            <w:r>
              <w:rPr>
                <w:rFonts w:cs="Arial"/>
              </w:rPr>
              <w:t xml:space="preserve"> </w:t>
            </w:r>
            <w:r w:rsidR="0098459F" w:rsidRPr="00A73CD4">
              <w:rPr>
                <w:rFonts w:cs="Arial"/>
              </w:rPr>
              <w:t xml:space="preserve">2 </w:t>
            </w:r>
            <w:r>
              <w:rPr>
                <w:rFonts w:cs="Arial"/>
              </w:rPr>
              <w:t>lat</w:t>
            </w:r>
            <w:r w:rsidR="0098459F">
              <w:rPr>
                <w:rFonts w:cs="Arial"/>
              </w:rPr>
              <w:t>a</w:t>
            </w:r>
            <w:r>
              <w:rPr>
                <w:rFonts w:cs="Arial"/>
              </w:rPr>
              <w:t>. Wykonawca wskaże Zamawiającemu zamienniki części zamiennych, jeżeli są dostępne na rynku</w:t>
            </w:r>
            <w:r w:rsidR="0098459F">
              <w:rPr>
                <w:rFonts w:cs="Arial"/>
              </w:rPr>
              <w:t xml:space="preserve"> na etapie realizacji umowy</w:t>
            </w:r>
            <w:r>
              <w:rPr>
                <w:rFonts w:cs="Arial"/>
              </w:rPr>
              <w:t>.</w:t>
            </w:r>
          </w:p>
        </w:tc>
      </w:tr>
    </w:tbl>
    <w:p w:rsidR="008F31BF" w:rsidRDefault="008F31BF"/>
    <w:sectPr w:rsidR="008F31BF" w:rsidSect="00CA05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7D" w:rsidRDefault="00533F7D" w:rsidP="00F5278B">
      <w:pPr>
        <w:spacing w:after="0" w:line="240" w:lineRule="auto"/>
      </w:pPr>
      <w:r>
        <w:separator/>
      </w:r>
    </w:p>
  </w:endnote>
  <w:endnote w:type="continuationSeparator" w:id="0">
    <w:p w:rsidR="00533F7D" w:rsidRDefault="00533F7D" w:rsidP="00F5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IDFont+F5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41" w:rsidRDefault="00B71E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D45" w:rsidRDefault="002C6D45">
    <w:pPr>
      <w:pStyle w:val="Stopka"/>
    </w:pPr>
  </w:p>
  <w:p w:rsidR="002C6D45" w:rsidRDefault="00B71E41">
    <w:pPr>
      <w:pStyle w:val="Stopka"/>
    </w:pPr>
    <w:r>
      <w:rPr>
        <w:noProof/>
        <w:lang w:eastAsia="pl-PL"/>
      </w:rPr>
      <w:drawing>
        <wp:inline distT="0" distB="0" distL="0" distR="0" wp14:anchorId="36221F77" wp14:editId="561DF298">
          <wp:extent cx="5756910" cy="680085"/>
          <wp:effectExtent l="0" t="0" r="0" b="5715"/>
          <wp:docPr id="2" name="Obraz 2" descr="MILL_stopka_[color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MILL_stopka_[color]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41" w:rsidRDefault="00B71E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7D" w:rsidRDefault="00533F7D" w:rsidP="00F5278B">
      <w:pPr>
        <w:spacing w:after="0" w:line="240" w:lineRule="auto"/>
      </w:pPr>
      <w:r>
        <w:separator/>
      </w:r>
    </w:p>
  </w:footnote>
  <w:footnote w:type="continuationSeparator" w:id="0">
    <w:p w:rsidR="00533F7D" w:rsidRDefault="00533F7D" w:rsidP="00F5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41" w:rsidRDefault="00B71E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41" w:rsidRDefault="00B71E41" w:rsidP="00B71E41">
    <w:pPr>
      <w:pStyle w:val="Nagwek"/>
    </w:pPr>
    <w:r>
      <w:t>DZ.370.UE.K.4.2022         Załącznik nr 1 do zapytania ofertowego- Załącznik nr 2 do umowy-</w:t>
    </w:r>
  </w:p>
  <w:p w:rsidR="00B71E41" w:rsidRDefault="00B71E41" w:rsidP="00B71E41">
    <w:pPr>
      <w:pStyle w:val="Nagwek"/>
      <w:jc w:val="right"/>
    </w:pPr>
    <w:r>
      <w:t>Specyfikacja techniczna przedmiotu zamówienia</w:t>
    </w:r>
  </w:p>
  <w:p w:rsidR="00F5278B" w:rsidRDefault="00F5278B" w:rsidP="00F5278B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41" w:rsidRDefault="00B71E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A94"/>
    <w:multiLevelType w:val="hybridMultilevel"/>
    <w:tmpl w:val="148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4584C"/>
    <w:multiLevelType w:val="hybridMultilevel"/>
    <w:tmpl w:val="2FC296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1C021BD"/>
    <w:multiLevelType w:val="hybridMultilevel"/>
    <w:tmpl w:val="A3BE3F54"/>
    <w:lvl w:ilvl="0" w:tplc="C39820F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3574F"/>
    <w:multiLevelType w:val="multilevel"/>
    <w:tmpl w:val="AA225F0A"/>
    <w:lvl w:ilvl="0">
      <w:start w:val="1"/>
      <w:numFmt w:val="decimal"/>
      <w:pStyle w:val="Lista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Lista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20533F2"/>
    <w:multiLevelType w:val="hybridMultilevel"/>
    <w:tmpl w:val="FF46CA14"/>
    <w:lvl w:ilvl="0" w:tplc="6B028BF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32941558"/>
    <w:multiLevelType w:val="hybridMultilevel"/>
    <w:tmpl w:val="78A6F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D2D2C"/>
    <w:multiLevelType w:val="hybridMultilevel"/>
    <w:tmpl w:val="635AEE6E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>
    <w:nsid w:val="49993C23"/>
    <w:multiLevelType w:val="hybridMultilevel"/>
    <w:tmpl w:val="B75A7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67915"/>
    <w:multiLevelType w:val="hybridMultilevel"/>
    <w:tmpl w:val="02AA8ECC"/>
    <w:lvl w:ilvl="0" w:tplc="C792B9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C18E4"/>
    <w:multiLevelType w:val="hybridMultilevel"/>
    <w:tmpl w:val="4AFAD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B36CA"/>
    <w:multiLevelType w:val="hybridMultilevel"/>
    <w:tmpl w:val="436E5200"/>
    <w:lvl w:ilvl="0" w:tplc="C20247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63E07"/>
    <w:multiLevelType w:val="hybridMultilevel"/>
    <w:tmpl w:val="BB6CC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A4CC6"/>
    <w:multiLevelType w:val="hybridMultilevel"/>
    <w:tmpl w:val="9496C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10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6E"/>
    <w:rsid w:val="00012902"/>
    <w:rsid w:val="00030885"/>
    <w:rsid w:val="00066457"/>
    <w:rsid w:val="0009673B"/>
    <w:rsid w:val="000B08A2"/>
    <w:rsid w:val="000C3DDA"/>
    <w:rsid w:val="000C68F2"/>
    <w:rsid w:val="00101A6E"/>
    <w:rsid w:val="00112628"/>
    <w:rsid w:val="001336E5"/>
    <w:rsid w:val="00142A44"/>
    <w:rsid w:val="00154FAB"/>
    <w:rsid w:val="001607A0"/>
    <w:rsid w:val="00164994"/>
    <w:rsid w:val="00172851"/>
    <w:rsid w:val="0018289A"/>
    <w:rsid w:val="0019086C"/>
    <w:rsid w:val="001B6389"/>
    <w:rsid w:val="001B7C32"/>
    <w:rsid w:val="001D25C7"/>
    <w:rsid w:val="001F60D8"/>
    <w:rsid w:val="001F7827"/>
    <w:rsid w:val="00227C8C"/>
    <w:rsid w:val="00230B87"/>
    <w:rsid w:val="002873F0"/>
    <w:rsid w:val="002C6D45"/>
    <w:rsid w:val="002D01D9"/>
    <w:rsid w:val="002D7E7D"/>
    <w:rsid w:val="00306CCB"/>
    <w:rsid w:val="00323A80"/>
    <w:rsid w:val="00323C81"/>
    <w:rsid w:val="00341197"/>
    <w:rsid w:val="00384B06"/>
    <w:rsid w:val="003A0AC9"/>
    <w:rsid w:val="003A1594"/>
    <w:rsid w:val="003A68DE"/>
    <w:rsid w:val="003A7DBE"/>
    <w:rsid w:val="003B1A9F"/>
    <w:rsid w:val="003C6BC0"/>
    <w:rsid w:val="003C7703"/>
    <w:rsid w:val="003E23AC"/>
    <w:rsid w:val="00432331"/>
    <w:rsid w:val="00433BE5"/>
    <w:rsid w:val="00454157"/>
    <w:rsid w:val="0048707A"/>
    <w:rsid w:val="004B7B30"/>
    <w:rsid w:val="004C6C49"/>
    <w:rsid w:val="00516792"/>
    <w:rsid w:val="00533F7D"/>
    <w:rsid w:val="005348A5"/>
    <w:rsid w:val="00556853"/>
    <w:rsid w:val="0057059F"/>
    <w:rsid w:val="00574BD4"/>
    <w:rsid w:val="005756B4"/>
    <w:rsid w:val="00585C19"/>
    <w:rsid w:val="0058728B"/>
    <w:rsid w:val="005A309B"/>
    <w:rsid w:val="005A6234"/>
    <w:rsid w:val="005C37BB"/>
    <w:rsid w:val="005E3F75"/>
    <w:rsid w:val="005F3892"/>
    <w:rsid w:val="006133DA"/>
    <w:rsid w:val="00617228"/>
    <w:rsid w:val="00617AC3"/>
    <w:rsid w:val="006710A1"/>
    <w:rsid w:val="006A5AAE"/>
    <w:rsid w:val="006C7052"/>
    <w:rsid w:val="006D5A3E"/>
    <w:rsid w:val="006E46EC"/>
    <w:rsid w:val="006E6120"/>
    <w:rsid w:val="006E6281"/>
    <w:rsid w:val="007004AA"/>
    <w:rsid w:val="00702D45"/>
    <w:rsid w:val="00717F4A"/>
    <w:rsid w:val="007231B2"/>
    <w:rsid w:val="0072338D"/>
    <w:rsid w:val="00745D96"/>
    <w:rsid w:val="00765D96"/>
    <w:rsid w:val="007B29D2"/>
    <w:rsid w:val="007C06BC"/>
    <w:rsid w:val="007C24E4"/>
    <w:rsid w:val="007C5055"/>
    <w:rsid w:val="007F1F70"/>
    <w:rsid w:val="007F239D"/>
    <w:rsid w:val="00832A75"/>
    <w:rsid w:val="00842EEC"/>
    <w:rsid w:val="008758EB"/>
    <w:rsid w:val="00881F08"/>
    <w:rsid w:val="00892363"/>
    <w:rsid w:val="008A2364"/>
    <w:rsid w:val="008B6890"/>
    <w:rsid w:val="008D3BE4"/>
    <w:rsid w:val="008E1094"/>
    <w:rsid w:val="008E543D"/>
    <w:rsid w:val="008F0A6E"/>
    <w:rsid w:val="008F31BF"/>
    <w:rsid w:val="00977485"/>
    <w:rsid w:val="0098459F"/>
    <w:rsid w:val="009A5941"/>
    <w:rsid w:val="009A66F2"/>
    <w:rsid w:val="009B0A56"/>
    <w:rsid w:val="009C3E9A"/>
    <w:rsid w:val="009C7F11"/>
    <w:rsid w:val="009E4F98"/>
    <w:rsid w:val="00A33C54"/>
    <w:rsid w:val="00A725E9"/>
    <w:rsid w:val="00A73CD4"/>
    <w:rsid w:val="00A9104E"/>
    <w:rsid w:val="00A912EB"/>
    <w:rsid w:val="00A93708"/>
    <w:rsid w:val="00AA4297"/>
    <w:rsid w:val="00AC27BB"/>
    <w:rsid w:val="00AD58B3"/>
    <w:rsid w:val="00AE6F8E"/>
    <w:rsid w:val="00AE70D0"/>
    <w:rsid w:val="00B0522A"/>
    <w:rsid w:val="00B131DC"/>
    <w:rsid w:val="00B30A36"/>
    <w:rsid w:val="00B4062D"/>
    <w:rsid w:val="00B42FBF"/>
    <w:rsid w:val="00B437AD"/>
    <w:rsid w:val="00B71E41"/>
    <w:rsid w:val="00B7386B"/>
    <w:rsid w:val="00BC1B2B"/>
    <w:rsid w:val="00C15B48"/>
    <w:rsid w:val="00C2652D"/>
    <w:rsid w:val="00C36072"/>
    <w:rsid w:val="00C456EF"/>
    <w:rsid w:val="00C46530"/>
    <w:rsid w:val="00C46E4A"/>
    <w:rsid w:val="00C8719E"/>
    <w:rsid w:val="00C94236"/>
    <w:rsid w:val="00CA0581"/>
    <w:rsid w:val="00CA4514"/>
    <w:rsid w:val="00CC24D1"/>
    <w:rsid w:val="00CC258D"/>
    <w:rsid w:val="00CE76CE"/>
    <w:rsid w:val="00D02DBE"/>
    <w:rsid w:val="00D14EF8"/>
    <w:rsid w:val="00D15426"/>
    <w:rsid w:val="00D3081B"/>
    <w:rsid w:val="00D36F95"/>
    <w:rsid w:val="00D54D6A"/>
    <w:rsid w:val="00D62794"/>
    <w:rsid w:val="00D65556"/>
    <w:rsid w:val="00D66579"/>
    <w:rsid w:val="00D723F9"/>
    <w:rsid w:val="00D93881"/>
    <w:rsid w:val="00D93C8D"/>
    <w:rsid w:val="00DE2597"/>
    <w:rsid w:val="00DF4C6B"/>
    <w:rsid w:val="00E02129"/>
    <w:rsid w:val="00E06E8E"/>
    <w:rsid w:val="00E70A7F"/>
    <w:rsid w:val="00E70C1B"/>
    <w:rsid w:val="00E71E4D"/>
    <w:rsid w:val="00E75459"/>
    <w:rsid w:val="00E837E1"/>
    <w:rsid w:val="00E863D3"/>
    <w:rsid w:val="00EA5BA2"/>
    <w:rsid w:val="00EA795A"/>
    <w:rsid w:val="00ED2564"/>
    <w:rsid w:val="00ED6673"/>
    <w:rsid w:val="00EE2ED0"/>
    <w:rsid w:val="00F1015E"/>
    <w:rsid w:val="00F21E8F"/>
    <w:rsid w:val="00F2359B"/>
    <w:rsid w:val="00F5010A"/>
    <w:rsid w:val="00F5278B"/>
    <w:rsid w:val="00FA4425"/>
    <w:rsid w:val="00FA4954"/>
    <w:rsid w:val="00FA5803"/>
    <w:rsid w:val="00FB76E1"/>
    <w:rsid w:val="00FB7F43"/>
    <w:rsid w:val="00FC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0C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10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0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0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0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0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0A1"/>
    <w:rPr>
      <w:rFonts w:ascii="Tahoma" w:hAnsi="Tahoma" w:cs="Tahoma"/>
      <w:sz w:val="16"/>
      <w:szCs w:val="16"/>
    </w:rPr>
  </w:style>
  <w:style w:type="paragraph" w:customStyle="1" w:styleId="Lista1">
    <w:name w:val="Lista1"/>
    <w:basedOn w:val="Normalny"/>
    <w:qFormat/>
    <w:rsid w:val="00A93708"/>
    <w:pPr>
      <w:widowControl w:val="0"/>
      <w:numPr>
        <w:numId w:val="4"/>
      </w:numPr>
      <w:suppressAutoHyphens/>
      <w:spacing w:before="360" w:after="0" w:line="240" w:lineRule="auto"/>
      <w:jc w:val="both"/>
      <w:outlineLvl w:val="1"/>
    </w:pPr>
    <w:rPr>
      <w:rFonts w:ascii="Verdana" w:eastAsia="Times New Roman" w:hAnsi="Verdana" w:cs="Verdana"/>
      <w:b/>
      <w:bCs/>
      <w:color w:val="000000"/>
      <w:u w:val="single"/>
      <w:lang w:eastAsia="ar-SA"/>
    </w:rPr>
  </w:style>
  <w:style w:type="paragraph" w:customStyle="1" w:styleId="Lista2">
    <w:name w:val="Lista2"/>
    <w:basedOn w:val="Akapitzlist"/>
    <w:link w:val="Lista2Znak"/>
    <w:qFormat/>
    <w:rsid w:val="00A93708"/>
    <w:pPr>
      <w:numPr>
        <w:ilvl w:val="1"/>
        <w:numId w:val="4"/>
      </w:numPr>
      <w:tabs>
        <w:tab w:val="left" w:pos="567"/>
        <w:tab w:val="left" w:pos="851"/>
      </w:tabs>
      <w:suppressAutoHyphens/>
      <w:spacing w:before="120" w:after="120"/>
      <w:jc w:val="both"/>
    </w:pPr>
    <w:rPr>
      <w:rFonts w:eastAsia="CIDFont+F5" w:cs="Arial"/>
      <w:bCs/>
      <w:szCs w:val="24"/>
      <w:lang w:eastAsia="ar-SA"/>
    </w:rPr>
  </w:style>
  <w:style w:type="character" w:customStyle="1" w:styleId="Lista2Znak">
    <w:name w:val="Lista2 Znak"/>
    <w:link w:val="Lista2"/>
    <w:rsid w:val="00A93708"/>
    <w:rPr>
      <w:rFonts w:eastAsia="CIDFont+F5" w:cs="Arial"/>
      <w:bCs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65D9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65D9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52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78B"/>
  </w:style>
  <w:style w:type="paragraph" w:styleId="Stopka">
    <w:name w:val="footer"/>
    <w:basedOn w:val="Normalny"/>
    <w:link w:val="StopkaZnak"/>
    <w:uiPriority w:val="99"/>
    <w:unhideWhenUsed/>
    <w:rsid w:val="00F52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0C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10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0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0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0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0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0A1"/>
    <w:rPr>
      <w:rFonts w:ascii="Tahoma" w:hAnsi="Tahoma" w:cs="Tahoma"/>
      <w:sz w:val="16"/>
      <w:szCs w:val="16"/>
    </w:rPr>
  </w:style>
  <w:style w:type="paragraph" w:customStyle="1" w:styleId="Lista1">
    <w:name w:val="Lista1"/>
    <w:basedOn w:val="Normalny"/>
    <w:qFormat/>
    <w:rsid w:val="00A93708"/>
    <w:pPr>
      <w:widowControl w:val="0"/>
      <w:numPr>
        <w:numId w:val="4"/>
      </w:numPr>
      <w:suppressAutoHyphens/>
      <w:spacing w:before="360" w:after="0" w:line="240" w:lineRule="auto"/>
      <w:jc w:val="both"/>
      <w:outlineLvl w:val="1"/>
    </w:pPr>
    <w:rPr>
      <w:rFonts w:ascii="Verdana" w:eastAsia="Times New Roman" w:hAnsi="Verdana" w:cs="Verdana"/>
      <w:b/>
      <w:bCs/>
      <w:color w:val="000000"/>
      <w:u w:val="single"/>
      <w:lang w:eastAsia="ar-SA"/>
    </w:rPr>
  </w:style>
  <w:style w:type="paragraph" w:customStyle="1" w:styleId="Lista2">
    <w:name w:val="Lista2"/>
    <w:basedOn w:val="Akapitzlist"/>
    <w:link w:val="Lista2Znak"/>
    <w:qFormat/>
    <w:rsid w:val="00A93708"/>
    <w:pPr>
      <w:numPr>
        <w:ilvl w:val="1"/>
        <w:numId w:val="4"/>
      </w:numPr>
      <w:tabs>
        <w:tab w:val="left" w:pos="567"/>
        <w:tab w:val="left" w:pos="851"/>
      </w:tabs>
      <w:suppressAutoHyphens/>
      <w:spacing w:before="120" w:after="120"/>
      <w:jc w:val="both"/>
    </w:pPr>
    <w:rPr>
      <w:rFonts w:eastAsia="CIDFont+F5" w:cs="Arial"/>
      <w:bCs/>
      <w:szCs w:val="24"/>
      <w:lang w:eastAsia="ar-SA"/>
    </w:rPr>
  </w:style>
  <w:style w:type="character" w:customStyle="1" w:styleId="Lista2Znak">
    <w:name w:val="Lista2 Znak"/>
    <w:link w:val="Lista2"/>
    <w:rsid w:val="00A93708"/>
    <w:rPr>
      <w:rFonts w:eastAsia="CIDFont+F5" w:cs="Arial"/>
      <w:bCs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65D9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65D9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52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78B"/>
  </w:style>
  <w:style w:type="paragraph" w:styleId="Stopka">
    <w:name w:val="footer"/>
    <w:basedOn w:val="Normalny"/>
    <w:link w:val="StopkaZnak"/>
    <w:uiPriority w:val="99"/>
    <w:unhideWhenUsed/>
    <w:rsid w:val="00F52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7465-116A-420A-A7F5-D06CF297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1362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Boś</dc:creator>
  <cp:lastModifiedBy>ksiwy</cp:lastModifiedBy>
  <cp:revision>4</cp:revision>
  <cp:lastPrinted>2021-09-23T06:38:00Z</cp:lastPrinted>
  <dcterms:created xsi:type="dcterms:W3CDTF">2022-02-23T09:36:00Z</dcterms:created>
  <dcterms:modified xsi:type="dcterms:W3CDTF">2022-03-01T10:57:00Z</dcterms:modified>
</cp:coreProperties>
</file>