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978" w:rsidRDefault="001C64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Cs w:val="24"/>
        </w:rPr>
        <w:t xml:space="preserve">ZAŁĄCZNIK NR </w:t>
      </w:r>
      <w:r w:rsidR="002A6D56">
        <w:rPr>
          <w:rFonts w:ascii="Times New Roman" w:hAnsi="Times New Roman" w:cs="Times New Roman"/>
          <w:b/>
          <w:szCs w:val="24"/>
        </w:rPr>
        <w:t>6b</w:t>
      </w:r>
      <w:bookmarkStart w:id="0" w:name="_GoBack"/>
      <w:bookmarkEnd w:id="0"/>
    </w:p>
    <w:p w:rsidR="004F0978" w:rsidRDefault="004F0978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4F0978" w:rsidRDefault="001C64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SPECYFIKACJA TECHNICZNA</w:t>
      </w:r>
    </w:p>
    <w:p w:rsidR="004F0978" w:rsidRDefault="004F0978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4F0978" w:rsidRDefault="001C642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Usługa konserwacyjna i naprawa awaryjna  urządzeń  instalacji przeciwpożarowych, oddymiania i sygnalizacji pożaru „SAP” zainstalowanych  w kompleksach wojskowych będących na zaopatrzeniu 15 WOG-u</w:t>
      </w:r>
    </w:p>
    <w:p w:rsidR="004F0978" w:rsidRDefault="004F09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4F0978" w:rsidRDefault="001C642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CPV : 50000000 – 5 Usługi naprawcze i konserwacyjne.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1.</w:t>
      </w:r>
      <w:r>
        <w:rPr>
          <w:rFonts w:ascii="Times New Roman" w:hAnsi="Times New Roman" w:cs="Times New Roman"/>
          <w:szCs w:val="24"/>
        </w:rPr>
        <w:tab/>
        <w:t>Przedmiot i zakres stosowania specyfikacji.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1.1. Przedmiot specyfikacji.</w:t>
      </w:r>
    </w:p>
    <w:p w:rsidR="004F0978" w:rsidRDefault="001C6425">
      <w:pPr>
        <w:spacing w:after="0" w:line="240" w:lineRule="auto"/>
        <w:ind w:left="42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Przedmiotem niniejszej Specyfikacji Technicznej (ST) są wymagania dotyczące realizacji – Usługi konserwacyjnej  i naprawy awaryjnej urządzeń instalacji przeciwpożarowych, oddymiania i sygnalizacji pożaru „SAP” zainstalowanych w kompleksach wojskowych  będących na zaopatrzeniu 15 WOG-u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1.2. Zakres stosowania specyfikacji.</w:t>
      </w:r>
    </w:p>
    <w:p w:rsidR="004F0978" w:rsidRDefault="001C6425">
      <w:pPr>
        <w:spacing w:after="0" w:line="240" w:lineRule="auto"/>
        <w:ind w:left="42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Specyfikacja będzie stosowana jako dokument pomocniczy przy realizacji usługi wymienionej w pkt. 1.1.</w:t>
      </w:r>
    </w:p>
    <w:p w:rsidR="004F0978" w:rsidRDefault="001C6425">
      <w:pPr>
        <w:spacing w:after="0" w:line="240" w:lineRule="auto"/>
        <w:ind w:left="42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Ustalenia zawarte w niniejszej specyfikacji obejmują czynności umożliwiające i mające na celu wykonanie wszystkich prac związanych z usługą konserwacyjną urządzeń instalacji przeciwpożarowych, oddymiania i sygnalizacji pożaru „SAP”.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1.3.  Zakres usług objętych specyfikacją.</w:t>
      </w:r>
    </w:p>
    <w:p w:rsidR="004F0978" w:rsidRDefault="001C6425">
      <w:pPr>
        <w:spacing w:after="0" w:line="240" w:lineRule="auto"/>
        <w:ind w:left="426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Usługę  konserwacyjną i naprawę awaryjną należy wykonać zgodnie z zawartą umową , specyfikacją techniczną Dokumentacją Techniczno - Ruchową urządzeń.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1.4. Ogólne wymagania dotyczące usługi konserwacyjnej.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>
        <w:rPr>
          <w:rFonts w:ascii="Times New Roman" w:hAnsi="Times New Roman" w:cs="Times New Roman"/>
          <w:szCs w:val="24"/>
          <w:u w:val="single"/>
        </w:rPr>
        <w:t>Wykonawca odpowiada za:</w:t>
      </w:r>
    </w:p>
    <w:p w:rsidR="004F0978" w:rsidRDefault="001C6425">
      <w:pPr>
        <w:pStyle w:val="Akapitzlist"/>
        <w:numPr>
          <w:ilvl w:val="2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Prowadzenie usługi konserwacyjnej i naprawy awaryjnej zgodnie z zawartą umową,      specyfikacją techniczną i DTR urządzeń.</w:t>
      </w:r>
    </w:p>
    <w:p w:rsidR="004F0978" w:rsidRDefault="001C6425">
      <w:pPr>
        <w:pStyle w:val="Akapitzlist"/>
        <w:numPr>
          <w:ilvl w:val="2"/>
          <w:numId w:val="3"/>
        </w:numPr>
        <w:ind w:left="709" w:hanging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Konserwację należy wykonywać w terminach określonych w pkt 5.3 niniejszej Specyfikacji.</w:t>
      </w:r>
    </w:p>
    <w:p w:rsidR="004F0978" w:rsidRDefault="001C6425">
      <w:pPr>
        <w:pStyle w:val="Akapitzlist"/>
        <w:numPr>
          <w:ilvl w:val="2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Wykonawca zapewnia sprawność urządzeń i instalacji przeciwpożarowych, oddymiania i sygnalizacji pożaru „SAP” w okresie trwania umowy.</w:t>
      </w:r>
    </w:p>
    <w:p w:rsidR="004F0978" w:rsidRDefault="001C6425">
      <w:pPr>
        <w:pStyle w:val="Akapitzlist"/>
        <w:numPr>
          <w:ilvl w:val="2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Wpisywanie do „Rejestru napraw i urządzeń” i dowodu urządzenia czynności konserwacyjnych wykonanych podczas każdego przeglądu i napraw.</w:t>
      </w:r>
    </w:p>
    <w:p w:rsidR="004F0978" w:rsidRDefault="001C6425">
      <w:pPr>
        <w:pStyle w:val="Akapitzlist"/>
        <w:numPr>
          <w:ilvl w:val="2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Wykonywanie usługi w asyście przedstawiciela Zamawiającego wyznaczonego przez Kierownika SOI.</w:t>
      </w:r>
    </w:p>
    <w:p w:rsidR="004F0978" w:rsidRDefault="001C6425">
      <w:pPr>
        <w:pStyle w:val="Akapitzlist"/>
        <w:numPr>
          <w:ilvl w:val="2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Przedstawienie Zamawiającemu wykazu pracowników, świadectw kwalifikacyjnych gr. 1 „D” oraz gr. 1 „E” którzy będą wykonywać prace      konserwacyjne (minimum 2 osoby).</w:t>
      </w:r>
    </w:p>
    <w:p w:rsidR="004F0978" w:rsidRDefault="001C6425">
      <w:pPr>
        <w:pStyle w:val="Akapitzlist"/>
        <w:numPr>
          <w:ilvl w:val="2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 przypadku kontaktu z czujkami izotopowymi należy postępować zgodnie z wymaganiami określonymi przez Państwową agencję Atomistyki. Osoba przeprowadzająca konserwacje powinna posiadać uprawnienia wydane przez  Państwową Agencję Atomistyki -  inspektora ochrony radiologicznej typu: IOR-0, IOR-1, IOR-3</w:t>
      </w:r>
    </w:p>
    <w:p w:rsidR="004F0978" w:rsidRDefault="001C6425">
      <w:pPr>
        <w:pStyle w:val="Akapitzlist"/>
        <w:numPr>
          <w:ilvl w:val="2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Wykonawca powinien posiadać uprawnienia Producentów systemów  znajdujących się na wyposażeniu Zamawiającego zgodnie z załącznikiem 4a.</w:t>
      </w:r>
    </w:p>
    <w:p w:rsidR="004F0978" w:rsidRDefault="001C6425">
      <w:pPr>
        <w:pStyle w:val="Akapitzlist"/>
        <w:numPr>
          <w:ilvl w:val="2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 przypadku konserwacji systemu gaszenia gazem konieczne jest posiadanie certyfikatów dla przedsiębiorstw oraz personelu świadczącego usługę przez  cały okres obowiązywania umowy o substancjach zubożających warstwę  ozonową oraz niektórych gazach cieplarnianych (Dz.U.205.881).</w:t>
      </w:r>
    </w:p>
    <w:p w:rsidR="004F0978" w:rsidRDefault="001C6425">
      <w:pPr>
        <w:pStyle w:val="Akapitzlist"/>
        <w:numPr>
          <w:ilvl w:val="2"/>
          <w:numId w:val="3"/>
        </w:numPr>
        <w:ind w:left="709" w:hanging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Przyjazdy na wykonanie konserwacji i naprawy awaryjne (koszty dojazdu i przeglądu), Wykonawca wlicza do ceny usługi konserwacyjnej i ceny naprawy awaryjnej.</w:t>
      </w:r>
    </w:p>
    <w:p w:rsidR="004F0978" w:rsidRDefault="001C6425">
      <w:pPr>
        <w:pStyle w:val="Akapitzlist"/>
        <w:numPr>
          <w:ilvl w:val="2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Wprowadzenie jakichkolwiek odstępstw wymaga akceptacji Zamawiającego.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1.5. Dokumentacja którą należy prowadzić w trakcie realizacji usługi.</w:t>
      </w:r>
    </w:p>
    <w:p w:rsidR="004F0978" w:rsidRDefault="001C6425">
      <w:pPr>
        <w:pStyle w:val="Akapitzlist"/>
        <w:numPr>
          <w:ilvl w:val="2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Dokumentacja prowadzona przez Wykonawcę w trakcie realizacji usługi konserwacyjnej musi być zgodna z zasadami podanymi w specyfikacji technicznej,</w:t>
      </w:r>
    </w:p>
    <w:p w:rsidR="004F0978" w:rsidRDefault="001C6425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Protokół z wykonywanej usługi konserwacyjnej wymagany przez  Zamawiającego zgodnie z umową wg załączonego wzoru.</w:t>
      </w:r>
    </w:p>
    <w:p w:rsidR="004F0978" w:rsidRDefault="001C6425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Dziennik konserwacji – zawierający wpisy wszystkich czynności  konserwacyjnych wykonanych podczas przeglądów, (w razie braku dziennika  konserwacji  Wykonawca założy nowy).</w:t>
      </w:r>
    </w:p>
    <w:p w:rsidR="004F0978" w:rsidRDefault="001C6425">
      <w:pPr>
        <w:pStyle w:val="Akapitzlist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Wykaz sprzętu ppoż. i oddymiania zgodnie z zał. nr 4a.</w:t>
      </w:r>
    </w:p>
    <w:p w:rsidR="004F0978" w:rsidRDefault="004F09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4F0978" w:rsidRDefault="001C642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1.6. Informacje o lokalizacji usługi konserwacyjnej.</w:t>
      </w:r>
    </w:p>
    <w:p w:rsidR="004F0978" w:rsidRDefault="001C642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Urządzenia instalacji przeciwpożarowych, oddymiania i sygnalizacji pożaru </w:t>
      </w:r>
    </w:p>
    <w:p w:rsidR="004F0978" w:rsidRDefault="001C6425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„SAP” zainstalowane są w kompleksach wojskowych administrowanych przez: </w:t>
      </w:r>
    </w:p>
    <w:p w:rsidR="004F0978" w:rsidRDefault="001C6425">
      <w:pPr>
        <w:pStyle w:val="Akapitzlist"/>
        <w:numPr>
          <w:ilvl w:val="1"/>
          <w:numId w:val="6"/>
        </w:numPr>
        <w:tabs>
          <w:tab w:val="left" w:pos="6576"/>
        </w:tabs>
        <w:spacing w:after="0" w:line="240" w:lineRule="auto"/>
        <w:ind w:left="993" w:hanging="284"/>
      </w:pPr>
      <w:r>
        <w:t xml:space="preserve">Kierownik SOI Szczecin </w:t>
      </w:r>
      <w:r>
        <w:tab/>
        <w:t>tel. 261 455 313</w:t>
      </w:r>
    </w:p>
    <w:p w:rsidR="004F0978" w:rsidRDefault="001C6425">
      <w:pPr>
        <w:pStyle w:val="Akapitzlist"/>
        <w:numPr>
          <w:ilvl w:val="1"/>
          <w:numId w:val="6"/>
        </w:numPr>
        <w:tabs>
          <w:tab w:val="left" w:pos="6576"/>
        </w:tabs>
        <w:spacing w:after="0" w:line="240" w:lineRule="auto"/>
        <w:ind w:left="993" w:hanging="284"/>
      </w:pPr>
      <w:r>
        <w:t>Kierownik SOI Stargard, Kobylanka</w:t>
      </w:r>
      <w:r>
        <w:tab/>
        <w:t>tel. 261 451 751</w:t>
      </w:r>
    </w:p>
    <w:p w:rsidR="004F0978" w:rsidRDefault="001C6425">
      <w:pPr>
        <w:pStyle w:val="Akapitzlist"/>
        <w:numPr>
          <w:ilvl w:val="1"/>
          <w:numId w:val="6"/>
        </w:numPr>
        <w:tabs>
          <w:tab w:val="left" w:pos="6576"/>
        </w:tabs>
        <w:spacing w:after="0" w:line="240" w:lineRule="auto"/>
        <w:ind w:left="993" w:hanging="284"/>
      </w:pPr>
      <w:r>
        <w:t xml:space="preserve">Kierownik SOI Szczecin Podjuchy    </w:t>
      </w:r>
      <w:r>
        <w:tab/>
        <w:t>tel. 261 454 566</w:t>
      </w:r>
    </w:p>
    <w:p w:rsidR="004F0978" w:rsidRDefault="001C6425">
      <w:pPr>
        <w:pStyle w:val="Akapitzlist"/>
        <w:numPr>
          <w:ilvl w:val="1"/>
          <w:numId w:val="6"/>
        </w:numPr>
        <w:tabs>
          <w:tab w:val="left" w:pos="6576"/>
        </w:tabs>
        <w:spacing w:after="0" w:line="240" w:lineRule="auto"/>
        <w:ind w:left="993" w:hanging="284"/>
      </w:pPr>
      <w:r>
        <w:t>Kierownik SOI Choszczno</w:t>
      </w:r>
      <w:r>
        <w:tab/>
        <w:t>tel. 261 477 461</w:t>
      </w:r>
    </w:p>
    <w:p w:rsidR="004F0978" w:rsidRDefault="001C6425">
      <w:pPr>
        <w:pStyle w:val="Akapitzlist"/>
        <w:numPr>
          <w:ilvl w:val="1"/>
          <w:numId w:val="6"/>
        </w:numPr>
        <w:tabs>
          <w:tab w:val="left" w:pos="6576"/>
        </w:tabs>
        <w:spacing w:after="0" w:line="240" w:lineRule="auto"/>
        <w:ind w:left="993" w:hanging="284"/>
      </w:pPr>
      <w:r>
        <w:rPr>
          <w:rFonts w:ascii="Times New Roman" w:hAnsi="Times New Roman" w:cs="Times New Roman"/>
          <w:szCs w:val="24"/>
        </w:rPr>
        <w:t xml:space="preserve">Kierownik SOI Mosty, Glewice                                   </w:t>
      </w:r>
      <w:r>
        <w:rPr>
          <w:rFonts w:ascii="Times New Roman" w:hAnsi="Times New Roman" w:cs="Times New Roman"/>
          <w:szCs w:val="24"/>
        </w:rPr>
        <w:tab/>
        <w:t xml:space="preserve"> tel. 261 477 703     </w:t>
      </w:r>
    </w:p>
    <w:p w:rsidR="004F0978" w:rsidRDefault="001C6425">
      <w:pPr>
        <w:pStyle w:val="Akapitzlist"/>
        <w:numPr>
          <w:ilvl w:val="2"/>
          <w:numId w:val="5"/>
        </w:numPr>
        <w:tabs>
          <w:tab w:val="left" w:pos="657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Dojazd do lokalizacji usługi konserwacyjnej – bez przeszkód.</w:t>
      </w:r>
    </w:p>
    <w:p w:rsidR="004F0978" w:rsidRDefault="001C6425">
      <w:pPr>
        <w:pStyle w:val="Akapitzlist"/>
        <w:numPr>
          <w:ilvl w:val="2"/>
          <w:numId w:val="5"/>
        </w:numPr>
        <w:tabs>
          <w:tab w:val="left" w:pos="6576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Wykonawca ze względu na zakres prac nie będzie korzystał z zaplecza (pomieszczenia) w ramach wykonywanej umowy.</w:t>
      </w:r>
    </w:p>
    <w:p w:rsidR="004F0978" w:rsidRDefault="001C642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 trakcie wykonywania usługi Wykonawca odpowiedzialny jest za:</w:t>
      </w:r>
    </w:p>
    <w:p w:rsidR="004F0978" w:rsidRDefault="001C6425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ochronę mienia Zamawiającego,</w:t>
      </w:r>
    </w:p>
    <w:p w:rsidR="004F0978" w:rsidRDefault="001C6425">
      <w:pPr>
        <w:pStyle w:val="Akapitzlist"/>
        <w:numPr>
          <w:ilvl w:val="0"/>
          <w:numId w:val="7"/>
        </w:numPr>
        <w:spacing w:after="0" w:line="240" w:lineRule="auto"/>
        <w:ind w:left="113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przestrzeganie przepisów bhp i ppoż. w okresie wykonywania usługi.</w:t>
      </w:r>
    </w:p>
    <w:p w:rsidR="004F0978" w:rsidRDefault="001C642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Wykonawca dostarczy Zamawiającemu w ciągu 7 dni od podpisania umowy następujące dokumenty:</w:t>
      </w:r>
    </w:p>
    <w:p w:rsidR="004F0978" w:rsidRDefault="001C6425">
      <w:pPr>
        <w:pStyle w:val="Akapitzlist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oświadczenie osób funkcyjnych o przejęciu obowiązków zgodnie z umową.</w:t>
      </w:r>
    </w:p>
    <w:p w:rsidR="004F0978" w:rsidRDefault="001C6425">
      <w:pPr>
        <w:pStyle w:val="Akapitzlist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Wykaz osób (imię i nazwisko nr dowodu osobistego )</w:t>
      </w:r>
    </w:p>
    <w:p w:rsidR="004F0978" w:rsidRDefault="001C6425">
      <w:pPr>
        <w:pStyle w:val="Akapitzlist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Wykaz pojazdów ( marka i nr rejestracyjny ).</w:t>
      </w:r>
    </w:p>
    <w:p w:rsidR="004F0978" w:rsidRDefault="001C642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Zamawiający udostępni do usługi konserwacyjnej następujące urządzenia:</w:t>
      </w:r>
    </w:p>
    <w:p w:rsidR="004F0978" w:rsidRDefault="004F09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4F0978" w:rsidRDefault="004F097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8663" w:type="dxa"/>
        <w:tblInd w:w="288" w:type="dxa"/>
        <w:tblLook w:val="04A0" w:firstRow="1" w:lastRow="0" w:firstColumn="1" w:lastColumn="0" w:noHBand="0" w:noVBand="1"/>
      </w:tblPr>
      <w:tblGrid>
        <w:gridCol w:w="564"/>
        <w:gridCol w:w="2521"/>
        <w:gridCol w:w="4323"/>
        <w:gridCol w:w="1255"/>
      </w:tblGrid>
      <w:tr w:rsidR="004F0978">
        <w:tc>
          <w:tcPr>
            <w:tcW w:w="563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l.p.</w:t>
            </w:r>
          </w:p>
        </w:tc>
        <w:tc>
          <w:tcPr>
            <w:tcW w:w="2521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Lokalizacja </w:t>
            </w:r>
          </w:p>
        </w:tc>
        <w:tc>
          <w:tcPr>
            <w:tcW w:w="4323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Rodzaj urządzenia </w:t>
            </w:r>
          </w:p>
        </w:tc>
        <w:tc>
          <w:tcPr>
            <w:tcW w:w="1255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ilość</w:t>
            </w:r>
          </w:p>
        </w:tc>
      </w:tr>
      <w:tr w:rsidR="004F0978">
        <w:tc>
          <w:tcPr>
            <w:tcW w:w="563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2521" w:type="dxa"/>
            <w:shd w:val="clear" w:color="auto" w:fill="auto"/>
          </w:tcPr>
          <w:p w:rsidR="004F0978" w:rsidRDefault="001C6425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SOI Choszczno</w:t>
            </w:r>
          </w:p>
        </w:tc>
        <w:tc>
          <w:tcPr>
            <w:tcW w:w="4323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Centrala ppoż.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Czujka dymu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Ręczny Ostrzegacz Pożarowy ROP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Sygnalizator akustyczny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Przycisk oddymiania</w:t>
            </w:r>
          </w:p>
        </w:tc>
        <w:tc>
          <w:tcPr>
            <w:tcW w:w="1255" w:type="dxa"/>
            <w:shd w:val="clear" w:color="auto" w:fill="auto"/>
          </w:tcPr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4F0978">
        <w:tc>
          <w:tcPr>
            <w:tcW w:w="563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2521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SOI Podjuchy</w:t>
            </w:r>
          </w:p>
        </w:tc>
        <w:tc>
          <w:tcPr>
            <w:tcW w:w="4323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Centrala ppoż.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Centrala oddymiania 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Czujka dymu/temperatury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Ręczny Ostrzegacz Pożarowy ROP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Przycisk oddymiania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Sygnalizator akustyczny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Akumulator</w:t>
            </w:r>
          </w:p>
          <w:p w:rsidR="001C3D4E" w:rsidRDefault="001C3D4E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Siłownik </w:t>
            </w:r>
          </w:p>
        </w:tc>
        <w:tc>
          <w:tcPr>
            <w:tcW w:w="1255" w:type="dxa"/>
            <w:shd w:val="clear" w:color="auto" w:fill="auto"/>
          </w:tcPr>
          <w:p w:rsidR="004F0978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  <w:p w:rsidR="004F0978" w:rsidRDefault="001C3D4E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215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43269B">
              <w:rPr>
                <w:color w:val="000000" w:themeColor="text1"/>
              </w:rPr>
              <w:t>0</w:t>
            </w:r>
          </w:p>
          <w:p w:rsidR="001C3D4E" w:rsidRDefault="001C3D4E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</w:t>
            </w:r>
          </w:p>
        </w:tc>
      </w:tr>
      <w:tr w:rsidR="004F0978">
        <w:tc>
          <w:tcPr>
            <w:tcW w:w="563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</w:pPr>
            <w:r>
              <w:lastRenderedPageBreak/>
              <w:t>3.</w:t>
            </w:r>
          </w:p>
          <w:p w:rsidR="004F0978" w:rsidRDefault="004F0978">
            <w:pPr>
              <w:spacing w:after="0" w:line="240" w:lineRule="auto"/>
              <w:jc w:val="both"/>
            </w:pPr>
          </w:p>
        </w:tc>
        <w:tc>
          <w:tcPr>
            <w:tcW w:w="2521" w:type="dxa"/>
            <w:shd w:val="clear" w:color="auto" w:fill="auto"/>
          </w:tcPr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SOI Szczecin</w:t>
            </w:r>
          </w:p>
        </w:tc>
        <w:tc>
          <w:tcPr>
            <w:tcW w:w="4323" w:type="dxa"/>
            <w:shd w:val="clear" w:color="auto" w:fill="auto"/>
          </w:tcPr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Centrala ppoż.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 xml:space="preserve">Centrala oddymiania 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Czujka dymu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Ręczny Ostrzegacz Pożarowy ROP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Przycisk oddymiania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Siłownik łańcuchowy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Sygnalizator akustyczny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Moduł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Drukarka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Akumulator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Butla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Detektor</w:t>
            </w:r>
          </w:p>
        </w:tc>
        <w:tc>
          <w:tcPr>
            <w:tcW w:w="1255" w:type="dxa"/>
            <w:shd w:val="clear" w:color="auto" w:fill="auto"/>
          </w:tcPr>
          <w:p w:rsidR="004F0978" w:rsidRDefault="00E17D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43269B">
              <w:rPr>
                <w:color w:val="000000" w:themeColor="text1"/>
              </w:rPr>
              <w:t>7</w:t>
            </w:r>
          </w:p>
          <w:p w:rsidR="004F0978" w:rsidRDefault="001C3D4E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</w:p>
          <w:p w:rsidR="004F0978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1940</w:t>
            </w:r>
          </w:p>
          <w:p w:rsidR="004F0978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230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77</w:t>
            </w:r>
          </w:p>
          <w:p w:rsidR="004F0978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157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  <w:p w:rsidR="004F0978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  <w:p w:rsidR="004F0978" w:rsidRDefault="00E17D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="0043269B">
              <w:rPr>
                <w:color w:val="000000" w:themeColor="text1"/>
              </w:rPr>
              <w:t>6</w:t>
            </w:r>
          </w:p>
          <w:p w:rsidR="004F0978" w:rsidRDefault="00FF33D3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4F0978">
        <w:tc>
          <w:tcPr>
            <w:tcW w:w="563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</w:pPr>
            <w:r>
              <w:t>4.</w:t>
            </w:r>
          </w:p>
        </w:tc>
        <w:tc>
          <w:tcPr>
            <w:tcW w:w="2521" w:type="dxa"/>
            <w:shd w:val="clear" w:color="auto" w:fill="auto"/>
          </w:tcPr>
          <w:p w:rsidR="004F0978" w:rsidRPr="006E663A" w:rsidRDefault="001C6425">
            <w:pPr>
              <w:pStyle w:val="Bezodstpw"/>
            </w:pPr>
            <w:r w:rsidRPr="006E663A">
              <w:t>SOI Stargard -</w:t>
            </w:r>
          </w:p>
          <w:p w:rsidR="004F0978" w:rsidRPr="006E663A" w:rsidRDefault="001C6425">
            <w:pPr>
              <w:pStyle w:val="Bezodstpw"/>
            </w:pPr>
            <w:r w:rsidRPr="006E663A">
              <w:t>Kobylanka-Bielkowo</w:t>
            </w:r>
          </w:p>
        </w:tc>
        <w:tc>
          <w:tcPr>
            <w:tcW w:w="4323" w:type="dxa"/>
            <w:shd w:val="clear" w:color="auto" w:fill="auto"/>
          </w:tcPr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Centrala ppoż.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 xml:space="preserve">Centrala oddymiania 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Czujka dymu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Ręczny Ostrzegacz Pożarowy ROP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Przycisk oddymiania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Siłownik łańcuchowy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Sygnalizator akustyczny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Drukarka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Akumulator</w:t>
            </w:r>
          </w:p>
          <w:p w:rsidR="004F0978" w:rsidRPr="006E663A" w:rsidRDefault="001C6425">
            <w:pPr>
              <w:spacing w:after="0" w:line="240" w:lineRule="auto"/>
              <w:jc w:val="both"/>
            </w:pPr>
            <w:r w:rsidRPr="006E663A">
              <w:t>Moduł</w:t>
            </w:r>
          </w:p>
          <w:p w:rsidR="002679CD" w:rsidRPr="006E663A" w:rsidRDefault="0043269B">
            <w:pPr>
              <w:spacing w:after="0" w:line="240" w:lineRule="auto"/>
              <w:jc w:val="both"/>
            </w:pPr>
            <w:r>
              <w:t>Butla</w:t>
            </w:r>
            <w:r w:rsidR="00516D9D" w:rsidRPr="006E663A">
              <w:t xml:space="preserve"> </w:t>
            </w:r>
          </w:p>
        </w:tc>
        <w:tc>
          <w:tcPr>
            <w:tcW w:w="1255" w:type="dxa"/>
            <w:shd w:val="clear" w:color="auto" w:fill="auto"/>
          </w:tcPr>
          <w:p w:rsidR="004F0978" w:rsidRPr="0043269B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3269B">
              <w:rPr>
                <w:color w:val="000000" w:themeColor="text1"/>
              </w:rPr>
              <w:t>14</w:t>
            </w:r>
          </w:p>
          <w:p w:rsidR="004F0978" w:rsidRPr="0043269B" w:rsidRDefault="00516D9D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3269B">
              <w:rPr>
                <w:color w:val="000000" w:themeColor="text1"/>
              </w:rPr>
              <w:t>1</w:t>
            </w:r>
            <w:r w:rsidR="0043269B" w:rsidRPr="0043269B">
              <w:rPr>
                <w:color w:val="000000" w:themeColor="text1"/>
              </w:rPr>
              <w:t>2</w:t>
            </w:r>
          </w:p>
          <w:p w:rsidR="004F0978" w:rsidRPr="0043269B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3269B">
              <w:rPr>
                <w:color w:val="000000" w:themeColor="text1"/>
              </w:rPr>
              <w:t>1080</w:t>
            </w:r>
          </w:p>
          <w:p w:rsidR="004F0978" w:rsidRPr="0043269B" w:rsidRDefault="001E3AF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3269B">
              <w:rPr>
                <w:color w:val="000000" w:themeColor="text1"/>
              </w:rPr>
              <w:t>11                9</w:t>
            </w:r>
            <w:r w:rsidR="0043269B" w:rsidRPr="0043269B">
              <w:rPr>
                <w:color w:val="000000" w:themeColor="text1"/>
              </w:rPr>
              <w:t>5</w:t>
            </w:r>
          </w:p>
          <w:p w:rsidR="004F0978" w:rsidRPr="0043269B" w:rsidRDefault="001E3AF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3269B">
              <w:rPr>
                <w:color w:val="000000" w:themeColor="text1"/>
              </w:rPr>
              <w:t>16</w:t>
            </w:r>
          </w:p>
          <w:p w:rsidR="004F0978" w:rsidRPr="0043269B" w:rsidRDefault="00516D9D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3269B">
              <w:rPr>
                <w:color w:val="000000" w:themeColor="text1"/>
              </w:rPr>
              <w:t>69</w:t>
            </w:r>
          </w:p>
          <w:p w:rsidR="004F0978" w:rsidRPr="0043269B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3269B">
              <w:rPr>
                <w:color w:val="000000" w:themeColor="text1"/>
              </w:rPr>
              <w:t>3</w:t>
            </w:r>
          </w:p>
          <w:p w:rsidR="004F0978" w:rsidRPr="0043269B" w:rsidRDefault="001E3AF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3269B">
              <w:rPr>
                <w:color w:val="000000" w:themeColor="text1"/>
              </w:rPr>
              <w:t>8</w:t>
            </w:r>
          </w:p>
          <w:p w:rsidR="004F0978" w:rsidRPr="0043269B" w:rsidRDefault="001E3AF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3269B">
              <w:rPr>
                <w:color w:val="000000" w:themeColor="text1"/>
              </w:rPr>
              <w:t>7</w:t>
            </w:r>
          </w:p>
          <w:p w:rsidR="002679CD" w:rsidRDefault="00516D9D" w:rsidP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43269B">
              <w:rPr>
                <w:color w:val="000000" w:themeColor="text1"/>
              </w:rPr>
              <w:t>5</w:t>
            </w:r>
          </w:p>
        </w:tc>
      </w:tr>
      <w:tr w:rsidR="004F0978">
        <w:tc>
          <w:tcPr>
            <w:tcW w:w="563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2521" w:type="dxa"/>
            <w:shd w:val="clear" w:color="auto" w:fill="auto"/>
          </w:tcPr>
          <w:p w:rsidR="004F0978" w:rsidRDefault="001C6425">
            <w:pPr>
              <w:pStyle w:val="Bezodstpw"/>
              <w:rPr>
                <w:color w:val="000000" w:themeColor="text1"/>
              </w:rPr>
            </w:pPr>
            <w:r>
              <w:rPr>
                <w:color w:val="000000" w:themeColor="text1"/>
              </w:rPr>
              <w:t>SOI Mosty, Glewice</w:t>
            </w:r>
          </w:p>
        </w:tc>
        <w:tc>
          <w:tcPr>
            <w:tcW w:w="4323" w:type="dxa"/>
            <w:shd w:val="clear" w:color="auto" w:fill="auto"/>
          </w:tcPr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Centrala ppoż.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Centrala oddymiania 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Czujka dymu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Przycisk oddymiania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Siłownik łańcuchowy                         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Drukarka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Ręczny ostrzegacz pożarowy ROP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Akumulator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Moduł</w:t>
            </w:r>
          </w:p>
          <w:p w:rsidR="004F0978" w:rsidRDefault="001C6425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Sygnalizator akustyczny</w:t>
            </w:r>
          </w:p>
          <w:p w:rsidR="0043269B" w:rsidRDefault="0043269B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Zasilacz</w:t>
            </w:r>
          </w:p>
        </w:tc>
        <w:tc>
          <w:tcPr>
            <w:tcW w:w="1255" w:type="dxa"/>
            <w:shd w:val="clear" w:color="auto" w:fill="auto"/>
          </w:tcPr>
          <w:p w:rsidR="004F0978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4F0978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313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  <w:p w:rsidR="004F0978" w:rsidRDefault="001C6425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  <w:p w:rsidR="004F0978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  <w:p w:rsidR="004F0978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  <w:p w:rsidR="004F0978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  <w:p w:rsidR="004F0978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  <w:p w:rsidR="0043269B" w:rsidRDefault="0043269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</w:tbl>
    <w:p w:rsidR="004F0978" w:rsidRDefault="004F0978">
      <w:pPr>
        <w:spacing w:after="0"/>
        <w:jc w:val="both"/>
        <w:rPr>
          <w:b/>
        </w:rPr>
      </w:pPr>
    </w:p>
    <w:p w:rsidR="004F0978" w:rsidRDefault="001C6425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Ogólne wymagania dotyczące naprawy awaryjnej:</w:t>
      </w:r>
    </w:p>
    <w:p w:rsidR="004F0978" w:rsidRDefault="001C642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Naprawa obejmuje:</w:t>
      </w:r>
    </w:p>
    <w:p w:rsidR="004F0978" w:rsidRDefault="001C6425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zakup części /urządzeń/ niezbędnych do naprawy,</w:t>
      </w:r>
    </w:p>
    <w:p w:rsidR="004F0978" w:rsidRDefault="001C6425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wykonanie naprawy poprzez przywrócenie sprawności wszystkich elementów,</w:t>
      </w:r>
    </w:p>
    <w:p w:rsidR="004F0978" w:rsidRDefault="001C6425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uruchomienie oraz sprawdzenie poprawności działania,</w:t>
      </w:r>
    </w:p>
    <w:p w:rsidR="004F0978" w:rsidRDefault="001C6425">
      <w:pPr>
        <w:pStyle w:val="Akapitzlist"/>
        <w:numPr>
          <w:ilvl w:val="0"/>
          <w:numId w:val="9"/>
        </w:numPr>
        <w:spacing w:after="0" w:line="240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zmiany w ukompletowaniu (demontaż elementów lub ich przeniesienie, </w:t>
      </w:r>
    </w:p>
    <w:p w:rsidR="004F0978" w:rsidRDefault="001C6425">
      <w:pPr>
        <w:pStyle w:val="Akapitzlist"/>
        <w:spacing w:after="0" w:line="240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montaż dodatkowych niezbędnych elementów).</w:t>
      </w:r>
    </w:p>
    <w:p w:rsidR="004F0978" w:rsidRDefault="001C642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 przystąpieniem do usunięcia niesprawności Wykonawca przedstawi Zamawiającemu ofertę cenową w celu akceptacji. Zamawiający zastrzega sobie możliwość weryfikacji lub odrzucenia przedstawionej oferty cenowej.</w:t>
      </w:r>
    </w:p>
    <w:p w:rsidR="004F0978" w:rsidRDefault="001C642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Wykonanie naprawy awaryjnej nastąpi poprzez akceptację oferty przedstawionej przez Wykonawcę.</w:t>
      </w:r>
    </w:p>
    <w:p w:rsidR="004F0978" w:rsidRDefault="001C642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 zakończonej naprawie awaryjnej na danym obiekcie, Wykonawca sporządzi protokół odbioru naprawy stwierdzający stan techniczny urządzeń objętych naprawami. </w:t>
      </w:r>
      <w:r>
        <w:rPr>
          <w:rFonts w:ascii="Times New Roman" w:hAnsi="Times New Roman"/>
        </w:rPr>
        <w:lastRenderedPageBreak/>
        <w:t>Egzemplarz protokołu podpisanego przez przedstawiciela Zamawiającego  w danym obiekcie Wykonawca przekaże Zamawiającemu wraz z fakturą VAT za wykonaną usługę.</w:t>
      </w:r>
    </w:p>
    <w:p w:rsidR="004F0978" w:rsidRDefault="001C6425">
      <w:pPr>
        <w:pStyle w:val="Akapitzlist"/>
        <w:numPr>
          <w:ilvl w:val="2"/>
          <w:numId w:val="5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Części i podzespoły wymienione podczas napraw (niesprawne) zosta</w:t>
      </w:r>
      <w:r w:rsidR="00436B08">
        <w:rPr>
          <w:rFonts w:ascii="Times New Roman" w:hAnsi="Times New Roman"/>
        </w:rPr>
        <w:t>ną          przekazane Zamawiającego</w:t>
      </w:r>
      <w:r>
        <w:rPr>
          <w:rFonts w:ascii="Times New Roman" w:hAnsi="Times New Roman"/>
        </w:rPr>
        <w:t xml:space="preserve"> poprzez „Wykaz zużytych, niesprawnych, części  i urządzeń, które zostały wymontowane w trakcie przeprowadzenia naprawy”.                          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Materiały.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 Ogólne wymagania dotyczące materiałów.</w:t>
      </w:r>
    </w:p>
    <w:p w:rsidR="004F0978" w:rsidRDefault="001C6425">
      <w:pPr>
        <w:pStyle w:val="Akapitzlist"/>
        <w:numPr>
          <w:ilvl w:val="2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Wszystkie materiały i urządzenia instalowane w trakcie wykonywania usługi i naprawy awaryjnej powinny być dopuszczone obrotu na rynku polskim.</w:t>
      </w:r>
    </w:p>
    <w:p w:rsidR="004F0978" w:rsidRDefault="001C6425">
      <w:pPr>
        <w:pStyle w:val="Akapitzlist"/>
        <w:numPr>
          <w:ilvl w:val="2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materiałów, dla których wymagane są atesty, każda partia musi posiadać atest określający w sposób jednoznaczny jej cechy.</w:t>
      </w:r>
    </w:p>
    <w:p w:rsidR="004F0978" w:rsidRDefault="001C6425">
      <w:pPr>
        <w:pStyle w:val="Akapitzlist"/>
        <w:numPr>
          <w:ilvl w:val="2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jest zobowiązany zapewnić, żeby materiały i urządzenia  tymczasowe składowane w miejscu były zabezpieczone przed uszkodzeniami.</w:t>
      </w:r>
    </w:p>
    <w:p w:rsidR="004F0978" w:rsidRDefault="001C6425">
      <w:pPr>
        <w:pStyle w:val="Akapitzlist"/>
        <w:numPr>
          <w:ilvl w:val="2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Materiały niezbędne do wykonania konserwacji  w szczególności:  czyściwo, smary, oleje, taśmy izolacyjne, śruby, podkładki, nakrętki, żarówki oświetlenia i sygnalizacji, instrukcje obsługi, główki bezpiecznikowe, wkładki topikowe, itp. Wykonawca wlicza w koszt usługi konserwacji w ramach otrzymanego wynagrodzenia wynikającego z umowy.</w:t>
      </w:r>
    </w:p>
    <w:p w:rsidR="004F0978" w:rsidRDefault="004F0978">
      <w:pPr>
        <w:spacing w:after="0" w:line="240" w:lineRule="auto"/>
        <w:jc w:val="both"/>
        <w:rPr>
          <w:rFonts w:ascii="Times New Roman" w:hAnsi="Times New Roman"/>
        </w:rPr>
      </w:pPr>
    </w:p>
    <w:p w:rsidR="004F0978" w:rsidRDefault="001C642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 Sprzęt.</w:t>
      </w:r>
    </w:p>
    <w:p w:rsidR="004F0978" w:rsidRDefault="001C6425">
      <w:pPr>
        <w:pStyle w:val="Akapitzlist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Usługa konserwacyjna powinna być wykonywana przy użyciu sprzętu własnego Wykonawcy.</w:t>
      </w:r>
    </w:p>
    <w:p w:rsidR="004F0978" w:rsidRDefault="001C6425">
      <w:pPr>
        <w:pStyle w:val="Akapitzlist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jest zobowiązany do używania sprzętu bezpiecznego, który nie spowoduje niekorzystnego wpływu na jakość prac i środowisko.</w:t>
      </w:r>
    </w:p>
    <w:p w:rsidR="004F0978" w:rsidRDefault="001C6425">
      <w:pPr>
        <w:pStyle w:val="Akapitzlist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Rodzaje sprzętu używanego do usługi pozostawia się do uznania Wykonawcy.</w:t>
      </w:r>
    </w:p>
    <w:p w:rsidR="004F0978" w:rsidRDefault="001C6425">
      <w:pPr>
        <w:pStyle w:val="Akapitzlist"/>
        <w:numPr>
          <w:ilvl w:val="1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Jakikolwiek sprzęt, maszyny lub narzędzia nie gwarantujące wymagań jakościowych robót zostaną przez Zamawiającego dopuszczone do wykonywania usługi.</w:t>
      </w:r>
    </w:p>
    <w:p w:rsidR="004F0978" w:rsidRDefault="004F0978">
      <w:pPr>
        <w:spacing w:after="0" w:line="240" w:lineRule="auto"/>
        <w:jc w:val="both"/>
        <w:rPr>
          <w:rFonts w:ascii="Times New Roman" w:hAnsi="Times New Roman"/>
        </w:rPr>
      </w:pPr>
    </w:p>
    <w:p w:rsidR="004F0978" w:rsidRDefault="001C642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     Transport.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  Ogólne wymagania odnośnie transportu.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Środki transportu – powszechnie stosowane przy wykonywaniu usługi będącej 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przedmiotem zamówienia.</w:t>
      </w:r>
    </w:p>
    <w:p w:rsidR="004F0978" w:rsidRDefault="004F0978">
      <w:pPr>
        <w:spacing w:after="0" w:line="240" w:lineRule="auto"/>
        <w:jc w:val="both"/>
        <w:rPr>
          <w:rFonts w:ascii="Times New Roman" w:hAnsi="Times New Roman"/>
        </w:rPr>
      </w:pPr>
    </w:p>
    <w:p w:rsidR="004F0978" w:rsidRDefault="001C642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  Wykonanie usługi.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     Ogólne wymagania wykonania usługi.</w:t>
      </w:r>
    </w:p>
    <w:p w:rsidR="004F0978" w:rsidRDefault="001C6425">
      <w:pPr>
        <w:pStyle w:val="Akapitzlist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Całość prac konserwacyjnych musi być wykonywana wyłącznie przez osoby posiadające odpowiednie uprawnienia do konserwacji i napraw urządzeń elektromechanicznych oraz świadectwa kwalifikac</w:t>
      </w:r>
      <w:r w:rsidR="001E3AF4">
        <w:rPr>
          <w:rFonts w:ascii="Times New Roman" w:hAnsi="Times New Roman"/>
        </w:rPr>
        <w:t>yjne gr. 1 „D” i „E” .(minimum 2 osoby</w:t>
      </w:r>
      <w:r>
        <w:rPr>
          <w:rFonts w:ascii="Times New Roman" w:hAnsi="Times New Roman"/>
        </w:rPr>
        <w:t>).</w:t>
      </w:r>
    </w:p>
    <w:p w:rsidR="004F0978" w:rsidRDefault="001C6425">
      <w:pPr>
        <w:pStyle w:val="Akapitzlist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Prace należy wykonać zgodnie z warunkami określonymi w umowie i specyfikacji technicznej oraz dokumentacji DTR urządzeń.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5.2.   Zakres czynności  konserwacyjnych.</w:t>
      </w:r>
    </w:p>
    <w:p w:rsidR="004F0978" w:rsidRDefault="001C6425">
      <w:pPr>
        <w:spacing w:after="0" w:line="240" w:lineRule="auto"/>
        <w:ind w:left="567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W trakcie przeprowadzanej   I konserwacji kwartalnej Wykonawca nieodpłatnie ma obowiązek przeszkolić personel obsługujący systemy alarmowe przeciwpożarowe, w zakresie obsługi i nadzoru.</w:t>
      </w:r>
    </w:p>
    <w:p w:rsidR="004F0978" w:rsidRDefault="001C642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Uwaga ogólna: poniższe czynności konserwacyjne należy wykonywać o ile </w:t>
      </w:r>
    </w:p>
    <w:p w:rsidR="004F0978" w:rsidRDefault="001C642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DTR danego urządzenia nie zaleca inaczej.</w:t>
      </w:r>
    </w:p>
    <w:p w:rsidR="004F0978" w:rsidRDefault="001C6425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Zakres czynności konserwacyjnych:</w:t>
      </w:r>
    </w:p>
    <w:p w:rsidR="004F0978" w:rsidRDefault="001C6425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lastRenderedPageBreak/>
        <w:t>Sprawdzenie zapisów w książce eksploatacyjnej (zdarzeń) dotyczącej   instalacji SAP wraz z podjęciem niezbędnych działań (prac) zapewniających  prawidłowe funkcjonowanie instalacji SAP.</w:t>
      </w:r>
    </w:p>
    <w:p w:rsidR="004F0978" w:rsidRDefault="001C6425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Dokonywanie w książce eksploatacyjnej ( w razie braku książki Wykonawca założy nową książkę eksploatacyjną ) zapisów odnośnie przeprowadzonej obsługi konserwacji lub innych zdarzeń związanych z eksploatacją SAP.</w:t>
      </w:r>
    </w:p>
    <w:p w:rsidR="004F0978" w:rsidRDefault="001C6425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Sprawdzanie, czy nadzorowanie linii dozorowych przez CSP funkcjonuje    prawidłowo.</w:t>
      </w:r>
    </w:p>
    <w:p w:rsidR="004F0978" w:rsidRDefault="001C6425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Sprawdzenie centrali wraz z układem zasilania podstawowego i awaryjnego wg wymogów dokumentacji techniczno – ruchowej urządzenia.</w:t>
      </w:r>
    </w:p>
    <w:p w:rsidR="004F0978" w:rsidRDefault="001C6425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Sprawdzanie zasilania linii dozorowych – określonych przez producenta w DTR.</w:t>
      </w:r>
    </w:p>
    <w:p w:rsidR="004F0978" w:rsidRDefault="001C6425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 xml:space="preserve">Sprawdzanie awaryjnego źródła zasilania – sprawdzanie wartości napięć, sprawdzanie prawidłowości i stanu połączeń, </w:t>
      </w:r>
    </w:p>
    <w:p w:rsidR="004F0978" w:rsidRDefault="001C6425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Sprawdzanie poprawności działania układu kontroli i doładowywania awaryjnego źródła zasilania.</w:t>
      </w:r>
    </w:p>
    <w:p w:rsidR="004F0978" w:rsidRDefault="001C6425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Linie dozorowe i sygnalizacyjne – sprawdzanie mocowania, połączeń na łączówkach, puszkach, rozdzielaczach.</w:t>
      </w:r>
    </w:p>
    <w:p w:rsidR="004F0978" w:rsidRDefault="001C6425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Sprawdzanie działania 25% czujek oraz ostrzegaczy pożarowych ( przez zadziałanie ) w każdej strefie ( linii ) dozorowej w celu sprawdzenia czy CSP prawidłowo odbiera i wyświetla sygnały imitujące alarmy, uszkodzenia na liniach dozorowych, prawidłowo uruchamia współpracujące urządzenia.</w:t>
      </w:r>
    </w:p>
    <w:p w:rsidR="004F0978" w:rsidRDefault="001C6425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Sygnalizatory – sprawdzenie sygnalizatorów łącznie z oczyszczeniem, regulacją ich czułości i poprawności działania.</w:t>
      </w:r>
    </w:p>
    <w:p w:rsidR="004F0978" w:rsidRDefault="001C6425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Sprawdzanie działania sygnalizatorów optyczno – akustycznych.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 w:cs="Arial"/>
          <w:b/>
          <w:szCs w:val="24"/>
        </w:rPr>
      </w:pPr>
      <w:r>
        <w:rPr>
          <w:rFonts w:ascii="Times New Roman" w:hAnsi="Times New Roman" w:cs="Arial"/>
          <w:szCs w:val="24"/>
        </w:rPr>
        <w:t xml:space="preserve">           </w:t>
      </w:r>
      <w:r>
        <w:rPr>
          <w:rFonts w:ascii="Times New Roman" w:hAnsi="Times New Roman" w:cs="Arial"/>
          <w:b/>
          <w:szCs w:val="24"/>
        </w:rPr>
        <w:t xml:space="preserve">  Urządzenia oddymiające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 xml:space="preserve">             Przeglądy kwartalne.</w:t>
      </w:r>
    </w:p>
    <w:p w:rsidR="004F0978" w:rsidRDefault="001C6425">
      <w:pPr>
        <w:pStyle w:val="Akapitzlist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optyczna kontrola systemu</w:t>
      </w:r>
    </w:p>
    <w:p w:rsidR="004F0978" w:rsidRDefault="001C6425">
      <w:pPr>
        <w:pStyle w:val="Akapitzlist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alarmowe uruchomienie poprzez czujkę dymową, przycisk ROP, centralę  oddymiania  albo sygnałem centrali sygnalizacji pożaru.</w:t>
      </w:r>
    </w:p>
    <w:p w:rsidR="004F0978" w:rsidRDefault="001C6425">
      <w:pPr>
        <w:pStyle w:val="Akapitzlist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optyczne sprawdzanie kąt uchylenia okien po ich otwarciu przez system.</w:t>
      </w:r>
    </w:p>
    <w:p w:rsidR="004F0978" w:rsidRDefault="001C6425">
      <w:pPr>
        <w:pStyle w:val="Akapitzlist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sprawdzenie elementów otwierających okna i ewentualne przesmarowanie okuć.</w:t>
      </w:r>
    </w:p>
    <w:p w:rsidR="004F0978" w:rsidRDefault="001C6425">
      <w:pPr>
        <w:pStyle w:val="Akapitzlist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 w:cs="Arial"/>
          <w:szCs w:val="24"/>
        </w:rPr>
      </w:pPr>
      <w:r>
        <w:rPr>
          <w:rFonts w:ascii="Times New Roman" w:hAnsi="Times New Roman" w:cs="Arial"/>
          <w:szCs w:val="24"/>
        </w:rPr>
        <w:t>sprawdzenie poprawności zamykania okien przez system..</w:t>
      </w:r>
    </w:p>
    <w:p w:rsidR="004F0978" w:rsidRDefault="001C6425">
      <w:pPr>
        <w:pStyle w:val="Akapitzlist"/>
        <w:numPr>
          <w:ilvl w:val="0"/>
          <w:numId w:val="14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stwierdzenie ewentualnych nieprawidłowości noszących znamiona awarii zgłoszenie ich Użytkownikowi (wpisanie do dziennika konserwacji, napraw,  protokołu).</w:t>
      </w:r>
    </w:p>
    <w:p w:rsidR="004F0978" w:rsidRDefault="001C6425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Obowiązki Wykonawcy:</w:t>
      </w:r>
    </w:p>
    <w:p w:rsidR="004F0978" w:rsidRDefault="001C6425">
      <w:pPr>
        <w:pStyle w:val="Akapitzlist"/>
        <w:numPr>
          <w:ilvl w:val="0"/>
          <w:numId w:val="15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bieżące usuwanie usterek i innych nieprawidłowości w działaniu urządzeń.</w:t>
      </w:r>
    </w:p>
    <w:p w:rsidR="004F0978" w:rsidRDefault="001C6425">
      <w:pPr>
        <w:pStyle w:val="Akapitzlist"/>
        <w:numPr>
          <w:ilvl w:val="0"/>
          <w:numId w:val="15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sprawdzanie prawidłowości obsługi.</w:t>
      </w:r>
    </w:p>
    <w:p w:rsidR="004F0978" w:rsidRDefault="001C6425">
      <w:pPr>
        <w:pStyle w:val="Akapitzlist"/>
        <w:numPr>
          <w:ilvl w:val="0"/>
          <w:numId w:val="15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odnotowywanie z podaniem daty i potwierdzenie podpisem(czytelnym) w dzienniku konserwacji wyników przeglądu i wykonywanych czynności, </w:t>
      </w:r>
    </w:p>
    <w:p w:rsidR="004F0978" w:rsidRDefault="001C6425">
      <w:pPr>
        <w:pStyle w:val="Akapitzlist"/>
        <w:numPr>
          <w:ilvl w:val="0"/>
          <w:numId w:val="15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bezzwłoczne powiadamianie eksploatującego urządzenie o nieprawidłowościach.</w:t>
      </w:r>
    </w:p>
    <w:p w:rsidR="004F0978" w:rsidRDefault="001C6425">
      <w:pPr>
        <w:pStyle w:val="Akapitzlist"/>
        <w:numPr>
          <w:ilvl w:val="0"/>
          <w:numId w:val="15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dokonująca konserwacji powinna utrzymać urządzenia w stanie technicznym zapewniającym maksymalnie sprawną, bezpieczną i bezawaryjną eksploatację.</w:t>
      </w:r>
    </w:p>
    <w:p w:rsidR="004F0978" w:rsidRDefault="001C6425">
      <w:pPr>
        <w:pStyle w:val="Akapitzlist"/>
        <w:numPr>
          <w:ilvl w:val="0"/>
          <w:numId w:val="15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informowanie Zamawiającego o stanie technicznym urządzeń w protokole wykonania konserwacji.</w:t>
      </w:r>
    </w:p>
    <w:p w:rsidR="004F0978" w:rsidRDefault="001C6425">
      <w:pPr>
        <w:pStyle w:val="Akapitzlist"/>
        <w:numPr>
          <w:ilvl w:val="0"/>
          <w:numId w:val="15"/>
        </w:numPr>
        <w:spacing w:after="0" w:line="240" w:lineRule="auto"/>
        <w:ind w:left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jest do naprawy szkody wynikłej z niewykonania lub nienależytego wykonania zobowiązań umownych.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Terminy wykonania usługi.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5.3.1 Usługi realizowane 1 raz na kwartał:</w:t>
      </w:r>
    </w:p>
    <w:p w:rsidR="004F0978" w:rsidRDefault="001C6425">
      <w:pPr>
        <w:spacing w:after="0" w:line="24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a) Terminy przeglądów :</w:t>
      </w:r>
    </w:p>
    <w:p w:rsidR="004F0978" w:rsidRDefault="001C6425">
      <w:pPr>
        <w:pStyle w:val="Akapitzlist"/>
        <w:numPr>
          <w:ilvl w:val="0"/>
          <w:numId w:val="1"/>
        </w:numPr>
        <w:spacing w:after="0" w:line="240" w:lineRule="auto"/>
        <w:ind w:left="1276"/>
        <w:jc w:val="both"/>
      </w:pPr>
      <w:r>
        <w:rPr>
          <w:rFonts w:ascii="Times New Roman" w:hAnsi="Times New Roman"/>
        </w:rPr>
        <w:t>Termin wykon</w:t>
      </w:r>
      <w:r w:rsidR="00516D9D">
        <w:rPr>
          <w:rFonts w:ascii="Times New Roman" w:hAnsi="Times New Roman"/>
        </w:rPr>
        <w:t>ania I przeglądu – do 31.03.2025</w:t>
      </w:r>
      <w:r>
        <w:rPr>
          <w:rFonts w:ascii="Times New Roman" w:hAnsi="Times New Roman"/>
        </w:rPr>
        <w:t xml:space="preserve"> r.</w:t>
      </w:r>
    </w:p>
    <w:p w:rsidR="004F0978" w:rsidRDefault="001C6425">
      <w:pPr>
        <w:pStyle w:val="Akapitzlist"/>
        <w:numPr>
          <w:ilvl w:val="0"/>
          <w:numId w:val="1"/>
        </w:numPr>
        <w:spacing w:after="0" w:line="240" w:lineRule="auto"/>
        <w:ind w:left="1276"/>
        <w:jc w:val="both"/>
      </w:pPr>
      <w:r>
        <w:rPr>
          <w:rFonts w:ascii="Times New Roman" w:hAnsi="Times New Roman"/>
        </w:rPr>
        <w:t>Termin wykonania II przeglądu – do 30.06.</w:t>
      </w:r>
      <w:r>
        <w:t xml:space="preserve"> </w:t>
      </w:r>
      <w:r w:rsidR="00516D9D">
        <w:rPr>
          <w:rFonts w:ascii="Times New Roman" w:hAnsi="Times New Roman"/>
        </w:rPr>
        <w:t>2025</w:t>
      </w:r>
      <w:r>
        <w:rPr>
          <w:rFonts w:ascii="Times New Roman" w:hAnsi="Times New Roman"/>
        </w:rPr>
        <w:t xml:space="preserve"> r.</w:t>
      </w:r>
    </w:p>
    <w:p w:rsidR="004F0978" w:rsidRDefault="001C6425">
      <w:pPr>
        <w:pStyle w:val="Akapitzlist"/>
        <w:numPr>
          <w:ilvl w:val="0"/>
          <w:numId w:val="1"/>
        </w:numPr>
        <w:spacing w:after="0" w:line="240" w:lineRule="auto"/>
        <w:ind w:left="1276"/>
        <w:jc w:val="both"/>
      </w:pPr>
      <w:r>
        <w:rPr>
          <w:rFonts w:ascii="Times New Roman" w:hAnsi="Times New Roman"/>
        </w:rPr>
        <w:t>Termin wykonania III przeglądu – do 30.09.</w:t>
      </w:r>
      <w:r>
        <w:t xml:space="preserve"> </w:t>
      </w:r>
      <w:r w:rsidR="00516D9D">
        <w:rPr>
          <w:rFonts w:ascii="Times New Roman" w:hAnsi="Times New Roman"/>
        </w:rPr>
        <w:t>2025</w:t>
      </w:r>
      <w:r>
        <w:rPr>
          <w:rFonts w:ascii="Times New Roman" w:hAnsi="Times New Roman"/>
        </w:rPr>
        <w:t xml:space="preserve"> r.</w:t>
      </w:r>
    </w:p>
    <w:p w:rsidR="004F0978" w:rsidRDefault="001C6425">
      <w:pPr>
        <w:pStyle w:val="Akapitzlist"/>
        <w:numPr>
          <w:ilvl w:val="0"/>
          <w:numId w:val="1"/>
        </w:numPr>
        <w:spacing w:after="0" w:line="240" w:lineRule="auto"/>
        <w:ind w:left="1276"/>
        <w:jc w:val="both"/>
      </w:pPr>
      <w:r>
        <w:rPr>
          <w:rFonts w:ascii="Times New Roman" w:hAnsi="Times New Roman"/>
        </w:rPr>
        <w:t>Termin wykonania IV przeglądu – do 10.12.</w:t>
      </w:r>
      <w:r>
        <w:t xml:space="preserve"> </w:t>
      </w:r>
      <w:r w:rsidR="00516D9D">
        <w:rPr>
          <w:rFonts w:ascii="Times New Roman" w:hAnsi="Times New Roman"/>
        </w:rPr>
        <w:t>2025</w:t>
      </w:r>
      <w:r>
        <w:rPr>
          <w:rFonts w:ascii="Times New Roman" w:hAnsi="Times New Roman"/>
        </w:rPr>
        <w:t xml:space="preserve"> r.</w:t>
      </w:r>
    </w:p>
    <w:p w:rsidR="004F0978" w:rsidRDefault="004F0978">
      <w:pPr>
        <w:pStyle w:val="Akapitzlist"/>
        <w:spacing w:after="0" w:line="240" w:lineRule="auto"/>
        <w:ind w:left="1276"/>
        <w:jc w:val="both"/>
        <w:rPr>
          <w:rFonts w:ascii="Times New Roman" w:hAnsi="Times New Roman"/>
        </w:rPr>
      </w:pPr>
    </w:p>
    <w:p w:rsidR="004F0978" w:rsidRDefault="001C642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Kontrola jakości usługi</w:t>
      </w:r>
      <w:r>
        <w:rPr>
          <w:rFonts w:ascii="Times New Roman" w:hAnsi="Times New Roman"/>
        </w:rPr>
        <w:t>.</w:t>
      </w:r>
    </w:p>
    <w:p w:rsidR="004F0978" w:rsidRDefault="001C6425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jest odpowiedzialny za pełną kontrolę jakości usługi i materiałów.</w:t>
      </w:r>
    </w:p>
    <w:p w:rsidR="004F0978" w:rsidRDefault="001C6425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usługi wykonuje czynności  konserwacyjne według wymienionego w pkt. 1.3. zakresu prac, w obecności przedstawiciela SOI danej lokalizacji.</w:t>
      </w:r>
    </w:p>
    <w:p w:rsidR="004F0978" w:rsidRDefault="001C6425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Czynności konserwacyjne  oraz orzeczenia o sprawności urządzeń muszą być odnotowane w dzienniku konserwacji i protokole z przeprowadzonej konserwacji urządzeń </w:t>
      </w:r>
    </w:p>
    <w:p w:rsidR="004F0978" w:rsidRDefault="004F0978">
      <w:pPr>
        <w:spacing w:after="0" w:line="240" w:lineRule="auto"/>
        <w:jc w:val="both"/>
        <w:rPr>
          <w:rFonts w:ascii="Times New Roman" w:hAnsi="Times New Roman"/>
        </w:rPr>
      </w:pPr>
    </w:p>
    <w:p w:rsidR="004F0978" w:rsidRDefault="001C6425">
      <w:pP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7.   </w:t>
      </w:r>
      <w:r>
        <w:rPr>
          <w:rFonts w:ascii="Times New Roman" w:hAnsi="Times New Roman"/>
          <w:b/>
          <w:szCs w:val="24"/>
        </w:rPr>
        <w:t>Obmiar usługi.</w:t>
      </w:r>
    </w:p>
    <w:p w:rsidR="004F0978" w:rsidRDefault="001C6425">
      <w:pP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Rozliczenie wykonanych prac i czynności nastąpi zgodnie z zapisami zawartymi w umowie.</w:t>
      </w:r>
    </w:p>
    <w:p w:rsidR="004F0978" w:rsidRDefault="004F0978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4F0978" w:rsidRDefault="001C642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 xml:space="preserve">8.  </w:t>
      </w:r>
      <w:r>
        <w:rPr>
          <w:rFonts w:ascii="Times New Roman" w:hAnsi="Times New Roman"/>
          <w:b/>
        </w:rPr>
        <w:t>Odbiór usługi.</w:t>
      </w:r>
    </w:p>
    <w:p w:rsidR="004F0978" w:rsidRDefault="00D27209">
      <w:pPr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</w:t>
      </w:r>
      <w:r w:rsidR="001C6425">
        <w:rPr>
          <w:rFonts w:ascii="Times New Roman" w:hAnsi="Times New Roman"/>
        </w:rPr>
        <w:t>. Załącznikiem do faktury jest : protokół przeprowadzonej  Usługi  konserwacyjnej urządzeń  instalacji przeciwpożarowych, oddymiania i sygnalizacji pożaru „SAP” obiektów w kompleksach wojskowych  potwierdzony przez osobę asystującą i Kierownika SOI.</w:t>
      </w:r>
    </w:p>
    <w:p w:rsidR="004F0978" w:rsidRDefault="004F0978">
      <w:pPr>
        <w:spacing w:after="0" w:line="240" w:lineRule="auto"/>
        <w:ind w:left="708"/>
        <w:jc w:val="both"/>
        <w:rPr>
          <w:rFonts w:ascii="Times New Roman" w:hAnsi="Times New Roman"/>
        </w:rPr>
      </w:pPr>
    </w:p>
    <w:p w:rsidR="004F0978" w:rsidRDefault="004F0978">
      <w:pPr>
        <w:spacing w:after="0" w:line="240" w:lineRule="auto"/>
        <w:jc w:val="both"/>
      </w:pPr>
    </w:p>
    <w:sectPr w:rsidR="004F0978">
      <w:pgSz w:w="11906" w:h="16838"/>
      <w:pgMar w:top="1417" w:right="1417" w:bottom="1417" w:left="1417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8D7" w:rsidRDefault="00EB38D7" w:rsidP="0026104B">
      <w:pPr>
        <w:spacing w:after="0" w:line="240" w:lineRule="auto"/>
      </w:pPr>
      <w:r>
        <w:separator/>
      </w:r>
    </w:p>
  </w:endnote>
  <w:endnote w:type="continuationSeparator" w:id="0">
    <w:p w:rsidR="00EB38D7" w:rsidRDefault="00EB38D7" w:rsidP="002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8D7" w:rsidRDefault="00EB38D7" w:rsidP="0026104B">
      <w:pPr>
        <w:spacing w:after="0" w:line="240" w:lineRule="auto"/>
      </w:pPr>
      <w:r>
        <w:separator/>
      </w:r>
    </w:p>
  </w:footnote>
  <w:footnote w:type="continuationSeparator" w:id="0">
    <w:p w:rsidR="00EB38D7" w:rsidRDefault="00EB38D7" w:rsidP="00261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911E3"/>
    <w:multiLevelType w:val="multilevel"/>
    <w:tmpl w:val="CA22F3FC"/>
    <w:lvl w:ilvl="0">
      <w:start w:val="5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B430A4A"/>
    <w:multiLevelType w:val="multilevel"/>
    <w:tmpl w:val="DEECB23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900" w:hanging="54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2BE52773"/>
    <w:multiLevelType w:val="multilevel"/>
    <w:tmpl w:val="3254322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348A46BD"/>
    <w:multiLevelType w:val="multilevel"/>
    <w:tmpl w:val="FDCC0C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737AF"/>
    <w:multiLevelType w:val="multilevel"/>
    <w:tmpl w:val="CA7A5B4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C704638"/>
    <w:multiLevelType w:val="multilevel"/>
    <w:tmpl w:val="4A3066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E2C506C"/>
    <w:multiLevelType w:val="multilevel"/>
    <w:tmpl w:val="E6668696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5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3EE35307"/>
    <w:multiLevelType w:val="multilevel"/>
    <w:tmpl w:val="E8A808A0"/>
    <w:lvl w:ilvl="0">
      <w:start w:val="8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41B27A96"/>
    <w:multiLevelType w:val="multilevel"/>
    <w:tmpl w:val="3D60EA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447C4A"/>
    <w:multiLevelType w:val="multilevel"/>
    <w:tmpl w:val="11F8A2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87C5A0B"/>
    <w:multiLevelType w:val="multilevel"/>
    <w:tmpl w:val="41C6A36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A741D8"/>
    <w:multiLevelType w:val="multilevel"/>
    <w:tmpl w:val="5712BC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C225ACA"/>
    <w:multiLevelType w:val="multilevel"/>
    <w:tmpl w:val="8EF009DC"/>
    <w:lvl w:ilvl="0">
      <w:start w:val="5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5DA24D54"/>
    <w:multiLevelType w:val="multilevel"/>
    <w:tmpl w:val="A9887A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723AF"/>
    <w:multiLevelType w:val="multilevel"/>
    <w:tmpl w:val="3FC4B50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6"/>
      <w:numFmt w:val="decimal"/>
      <w:lvlText w:val="%1.%2."/>
      <w:lvlJc w:val="left"/>
      <w:pPr>
        <w:ind w:left="1620" w:hanging="54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16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520" w:hanging="1440"/>
      </w:pPr>
    </w:lvl>
    <w:lvl w:ilvl="8">
      <w:start w:val="1"/>
      <w:numFmt w:val="decimal"/>
      <w:lvlText w:val="%1.%2.%3.%4.%5.%6.%7.%8.%9."/>
      <w:lvlJc w:val="left"/>
      <w:pPr>
        <w:ind w:left="2880" w:hanging="1800"/>
      </w:pPr>
    </w:lvl>
  </w:abstractNum>
  <w:abstractNum w:abstractNumId="15" w15:restartNumberingAfterBreak="0">
    <w:nsid w:val="66E9342E"/>
    <w:multiLevelType w:val="multilevel"/>
    <w:tmpl w:val="1D9AF3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341532B"/>
    <w:multiLevelType w:val="multilevel"/>
    <w:tmpl w:val="E4A054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14"/>
  </w:num>
  <w:num w:numId="6">
    <w:abstractNumId w:val="3"/>
  </w:num>
  <w:num w:numId="7">
    <w:abstractNumId w:val="15"/>
  </w:num>
  <w:num w:numId="8">
    <w:abstractNumId w:val="16"/>
  </w:num>
  <w:num w:numId="9">
    <w:abstractNumId w:val="13"/>
  </w:num>
  <w:num w:numId="10">
    <w:abstractNumId w:val="2"/>
  </w:num>
  <w:num w:numId="11">
    <w:abstractNumId w:val="4"/>
  </w:num>
  <w:num w:numId="12">
    <w:abstractNumId w:val="0"/>
  </w:num>
  <w:num w:numId="13">
    <w:abstractNumId w:val="9"/>
  </w:num>
  <w:num w:numId="14">
    <w:abstractNumId w:val="8"/>
  </w:num>
  <w:num w:numId="15">
    <w:abstractNumId w:val="10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978"/>
    <w:rsid w:val="001C3D4E"/>
    <w:rsid w:val="001C6425"/>
    <w:rsid w:val="001E3AF4"/>
    <w:rsid w:val="0026104B"/>
    <w:rsid w:val="002679CD"/>
    <w:rsid w:val="002A6D56"/>
    <w:rsid w:val="0043269B"/>
    <w:rsid w:val="00436B08"/>
    <w:rsid w:val="004F0978"/>
    <w:rsid w:val="004F2DDD"/>
    <w:rsid w:val="00516D9D"/>
    <w:rsid w:val="006C53A5"/>
    <w:rsid w:val="006E663A"/>
    <w:rsid w:val="00862BA9"/>
    <w:rsid w:val="00912199"/>
    <w:rsid w:val="009307C2"/>
    <w:rsid w:val="009F5902"/>
    <w:rsid w:val="00B02F0F"/>
    <w:rsid w:val="00B5255D"/>
    <w:rsid w:val="00B56F1F"/>
    <w:rsid w:val="00B60DCD"/>
    <w:rsid w:val="00B95B54"/>
    <w:rsid w:val="00BA0DEC"/>
    <w:rsid w:val="00BA299C"/>
    <w:rsid w:val="00CE0F1A"/>
    <w:rsid w:val="00CE72BC"/>
    <w:rsid w:val="00D27209"/>
    <w:rsid w:val="00D63B54"/>
    <w:rsid w:val="00E17D9B"/>
    <w:rsid w:val="00EB38D7"/>
    <w:rsid w:val="00FB42C7"/>
    <w:rsid w:val="00FF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C6ECE"/>
  <w15:docId w15:val="{8F0DACEF-4692-4652-A9E3-B0126DD71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5C64"/>
    <w:pPr>
      <w:spacing w:after="20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454C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64B7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D64B7"/>
    <w:rPr>
      <w:rFonts w:ascii="Arial" w:hAnsi="Arial"/>
      <w:sz w:val="24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eastAsia="Calibri"/>
    </w:rPr>
  </w:style>
  <w:style w:type="character" w:customStyle="1" w:styleId="ListLabel7">
    <w:name w:val="ListLabel 7"/>
    <w:qFormat/>
    <w:rPr>
      <w:rFonts w:ascii="Times New Roman" w:eastAsia="Calibri" w:hAnsi="Times New Roman" w:cs="Times New Roman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ascii="Times New Roman" w:hAnsi="Times New Roman"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Pr>
      <w:rFonts w:ascii="Times New Roman" w:hAnsi="Times New Roman"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ascii="Times New Roman" w:hAnsi="Times New Roman"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ascii="Times New Roman" w:hAnsi="Times New Roman"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ascii="Times New Roman" w:hAnsi="Times New Roman"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ascii="Times New Roman" w:hAnsi="Times New Roman"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ascii="Times New Roman" w:hAnsi="Times New Roman"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ascii="Times New Roman" w:eastAsia="Calibri" w:hAnsi="Times New Roman" w:cs="Times New Roman"/>
    </w:rPr>
  </w:style>
  <w:style w:type="character" w:customStyle="1" w:styleId="ListLabel88">
    <w:name w:val="ListLabel 88"/>
    <w:qFormat/>
    <w:rPr>
      <w:rFonts w:ascii="Times New Roman" w:hAnsi="Times New Roman"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ascii="Times New Roman" w:hAnsi="Times New Roman"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ascii="Times New Roman" w:hAnsi="Times New Roman" w:cs="Symbol"/>
      <w:b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ascii="Times New Roman" w:hAnsi="Times New Roman"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ascii="Times New Roman" w:hAnsi="Times New Roman"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ascii="Times New Roman" w:hAnsi="Times New Roman"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Times New Roman" w:eastAsia="Calibri" w:hAnsi="Times New Roman" w:cs="Times New Roman"/>
    </w:rPr>
  </w:style>
  <w:style w:type="character" w:customStyle="1" w:styleId="ListLabel143">
    <w:name w:val="ListLabel 143"/>
    <w:qFormat/>
    <w:rPr>
      <w:rFonts w:ascii="Times New Roman" w:hAnsi="Times New Roman"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ascii="Times New Roman" w:hAnsi="Times New Roman" w:cs="Symbol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ascii="Times New Roman" w:hAnsi="Times New Roman" w:cs="Symbol"/>
      <w:b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Times New Roman" w:hAnsi="Times New Roman"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ascii="Times New Roman" w:hAnsi="Times New Roman" w:cs="Symbol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ascii="Times New Roman" w:hAnsi="Times New Roman" w:cs="Symbol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ascii="Times New Roman" w:eastAsia="Calibri" w:hAnsi="Times New Roman" w:cs="Times New Roman"/>
    </w:rPr>
  </w:style>
  <w:style w:type="character" w:customStyle="1" w:styleId="ListLabel198">
    <w:name w:val="ListLabel 198"/>
    <w:qFormat/>
    <w:rPr>
      <w:rFonts w:ascii="Times New Roman" w:hAnsi="Times New Roman"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Courier New"/>
    </w:rPr>
  </w:style>
  <w:style w:type="character" w:customStyle="1" w:styleId="ListLabel203">
    <w:name w:val="ListLabel 203"/>
    <w:qFormat/>
    <w:rPr>
      <w:rFonts w:cs="Wingdings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Courier New"/>
    </w:rPr>
  </w:style>
  <w:style w:type="character" w:customStyle="1" w:styleId="ListLabel206">
    <w:name w:val="ListLabel 206"/>
    <w:qFormat/>
    <w:rPr>
      <w:rFonts w:cs="Wingdings"/>
    </w:rPr>
  </w:style>
  <w:style w:type="character" w:customStyle="1" w:styleId="ListLabel207">
    <w:name w:val="ListLabel 207"/>
    <w:qFormat/>
    <w:rPr>
      <w:rFonts w:ascii="Times New Roman" w:hAnsi="Times New Roman" w:cs="Symbol"/>
    </w:rPr>
  </w:style>
  <w:style w:type="character" w:customStyle="1" w:styleId="ListLabel208">
    <w:name w:val="ListLabel 208"/>
    <w:qFormat/>
    <w:rPr>
      <w:rFonts w:cs="Courier New"/>
    </w:rPr>
  </w:style>
  <w:style w:type="character" w:customStyle="1" w:styleId="ListLabel209">
    <w:name w:val="ListLabel 209"/>
    <w:qFormat/>
    <w:rPr>
      <w:rFonts w:cs="Wingdings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Courier New"/>
    </w:rPr>
  </w:style>
  <w:style w:type="character" w:customStyle="1" w:styleId="ListLabel212">
    <w:name w:val="ListLabel 212"/>
    <w:qFormat/>
    <w:rPr>
      <w:rFonts w:cs="Wingdings"/>
    </w:rPr>
  </w:style>
  <w:style w:type="character" w:customStyle="1" w:styleId="ListLabel213">
    <w:name w:val="ListLabel 213"/>
    <w:qFormat/>
    <w:rPr>
      <w:rFonts w:cs="Symbol"/>
    </w:rPr>
  </w:style>
  <w:style w:type="character" w:customStyle="1" w:styleId="ListLabel214">
    <w:name w:val="ListLabel 214"/>
    <w:qFormat/>
    <w:rPr>
      <w:rFonts w:cs="Courier New"/>
    </w:rPr>
  </w:style>
  <w:style w:type="character" w:customStyle="1" w:styleId="ListLabel215">
    <w:name w:val="ListLabel 215"/>
    <w:qFormat/>
    <w:rPr>
      <w:rFonts w:cs="Wingdings"/>
    </w:rPr>
  </w:style>
  <w:style w:type="character" w:customStyle="1" w:styleId="ListLabel216">
    <w:name w:val="ListLabel 216"/>
    <w:qFormat/>
    <w:rPr>
      <w:rFonts w:ascii="Times New Roman" w:hAnsi="Times New Roman" w:cs="Symbol"/>
      <w:b/>
    </w:rPr>
  </w:style>
  <w:style w:type="character" w:customStyle="1" w:styleId="ListLabel217">
    <w:name w:val="ListLabel 217"/>
    <w:qFormat/>
    <w:rPr>
      <w:rFonts w:cs="Courier New"/>
    </w:rPr>
  </w:style>
  <w:style w:type="character" w:customStyle="1" w:styleId="ListLabel218">
    <w:name w:val="ListLabel 218"/>
    <w:qFormat/>
    <w:rPr>
      <w:rFonts w:cs="Wingdings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Courier New"/>
    </w:rPr>
  </w:style>
  <w:style w:type="character" w:customStyle="1" w:styleId="ListLabel221">
    <w:name w:val="ListLabel 221"/>
    <w:qFormat/>
    <w:rPr>
      <w:rFonts w:cs="Wingdings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Courier New"/>
    </w:rPr>
  </w:style>
  <w:style w:type="character" w:customStyle="1" w:styleId="ListLabel224">
    <w:name w:val="ListLabel 224"/>
    <w:qFormat/>
    <w:rPr>
      <w:rFonts w:cs="Wingdings"/>
    </w:rPr>
  </w:style>
  <w:style w:type="character" w:customStyle="1" w:styleId="ListLabel225">
    <w:name w:val="ListLabel 225"/>
    <w:qFormat/>
    <w:rPr>
      <w:rFonts w:ascii="Times New Roman" w:hAnsi="Times New Roman" w:cs="Symbol"/>
    </w:rPr>
  </w:style>
  <w:style w:type="character" w:customStyle="1" w:styleId="ListLabel226">
    <w:name w:val="ListLabel 226"/>
    <w:qFormat/>
    <w:rPr>
      <w:rFonts w:cs="Courier New"/>
    </w:rPr>
  </w:style>
  <w:style w:type="character" w:customStyle="1" w:styleId="ListLabel227">
    <w:name w:val="ListLabel 227"/>
    <w:qFormat/>
    <w:rPr>
      <w:rFonts w:cs="Wingdings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Courier New"/>
    </w:rPr>
  </w:style>
  <w:style w:type="character" w:customStyle="1" w:styleId="ListLabel230">
    <w:name w:val="ListLabel 230"/>
    <w:qFormat/>
    <w:rPr>
      <w:rFonts w:cs="Wingdings"/>
    </w:rPr>
  </w:style>
  <w:style w:type="character" w:customStyle="1" w:styleId="ListLabel231">
    <w:name w:val="ListLabel 231"/>
    <w:qFormat/>
    <w:rPr>
      <w:rFonts w:cs="Symbol"/>
    </w:rPr>
  </w:style>
  <w:style w:type="character" w:customStyle="1" w:styleId="ListLabel232">
    <w:name w:val="ListLabel 232"/>
    <w:qFormat/>
    <w:rPr>
      <w:rFonts w:cs="Courier New"/>
    </w:rPr>
  </w:style>
  <w:style w:type="character" w:customStyle="1" w:styleId="ListLabel233">
    <w:name w:val="ListLabel 233"/>
    <w:qFormat/>
    <w:rPr>
      <w:rFonts w:cs="Wingdings"/>
    </w:rPr>
  </w:style>
  <w:style w:type="character" w:customStyle="1" w:styleId="ListLabel234">
    <w:name w:val="ListLabel 234"/>
    <w:qFormat/>
    <w:rPr>
      <w:rFonts w:ascii="Times New Roman" w:hAnsi="Times New Roman" w:cs="Symbol"/>
    </w:rPr>
  </w:style>
  <w:style w:type="character" w:customStyle="1" w:styleId="ListLabel235">
    <w:name w:val="ListLabel 235"/>
    <w:qFormat/>
    <w:rPr>
      <w:rFonts w:cs="Courier New"/>
    </w:rPr>
  </w:style>
  <w:style w:type="character" w:customStyle="1" w:styleId="ListLabel236">
    <w:name w:val="ListLabel 236"/>
    <w:qFormat/>
    <w:rPr>
      <w:rFonts w:cs="Wingdings"/>
    </w:rPr>
  </w:style>
  <w:style w:type="character" w:customStyle="1" w:styleId="ListLabel237">
    <w:name w:val="ListLabel 237"/>
    <w:qFormat/>
    <w:rPr>
      <w:rFonts w:cs="Symbol"/>
    </w:rPr>
  </w:style>
  <w:style w:type="character" w:customStyle="1" w:styleId="ListLabel238">
    <w:name w:val="ListLabel 238"/>
    <w:qFormat/>
    <w:rPr>
      <w:rFonts w:cs="Courier New"/>
    </w:rPr>
  </w:style>
  <w:style w:type="character" w:customStyle="1" w:styleId="ListLabel239">
    <w:name w:val="ListLabel 239"/>
    <w:qFormat/>
    <w:rPr>
      <w:rFonts w:cs="Wingdings"/>
    </w:rPr>
  </w:style>
  <w:style w:type="character" w:customStyle="1" w:styleId="ListLabel240">
    <w:name w:val="ListLabel 240"/>
    <w:qFormat/>
    <w:rPr>
      <w:rFonts w:cs="Symbol"/>
    </w:rPr>
  </w:style>
  <w:style w:type="character" w:customStyle="1" w:styleId="ListLabel241">
    <w:name w:val="ListLabel 241"/>
    <w:qFormat/>
    <w:rPr>
      <w:rFonts w:cs="Courier New"/>
    </w:rPr>
  </w:style>
  <w:style w:type="character" w:customStyle="1" w:styleId="ListLabel242">
    <w:name w:val="ListLabel 242"/>
    <w:qFormat/>
    <w:rPr>
      <w:rFonts w:cs="Wingdings"/>
    </w:rPr>
  </w:style>
  <w:style w:type="character" w:customStyle="1" w:styleId="ListLabel243">
    <w:name w:val="ListLabel 243"/>
    <w:qFormat/>
    <w:rPr>
      <w:rFonts w:cs="Symbol"/>
    </w:rPr>
  </w:style>
  <w:style w:type="character" w:customStyle="1" w:styleId="ListLabel244">
    <w:name w:val="ListLabel 244"/>
    <w:qFormat/>
    <w:rPr>
      <w:rFonts w:cs="Courier New"/>
    </w:rPr>
  </w:style>
  <w:style w:type="character" w:customStyle="1" w:styleId="ListLabel245">
    <w:name w:val="ListLabel 245"/>
    <w:qFormat/>
    <w:rPr>
      <w:rFonts w:cs="Wingdings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eastAsia="Calibri" w:cs="Times New Roman"/>
    </w:rPr>
  </w:style>
  <w:style w:type="character" w:customStyle="1" w:styleId="ListLabel253">
    <w:name w:val="ListLabel 253"/>
    <w:qFormat/>
    <w:rPr>
      <w:rFonts w:ascii="Times New Roman" w:hAnsi="Times New Roman"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ascii="Times New Roman" w:hAnsi="Times New Roman"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ascii="Times New Roman" w:hAnsi="Times New Roman" w:cs="Symbol"/>
      <w:b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ascii="Times New Roman" w:hAnsi="Times New Roman"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ascii="Times New Roman" w:hAnsi="Times New Roman"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eastAsia="Calibri" w:cs="Times New Roman"/>
    </w:rPr>
  </w:style>
  <w:style w:type="character" w:customStyle="1" w:styleId="ListLabel308">
    <w:name w:val="ListLabel 308"/>
    <w:qFormat/>
    <w:rPr>
      <w:rFonts w:ascii="Times New Roman" w:hAnsi="Times New Roman"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cs="Symbol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ascii="Times New Roman" w:hAnsi="Times New Roman"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ascii="Times New Roman" w:hAnsi="Times New Roman" w:cs="Symbol"/>
      <w:b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ascii="Times New Roman" w:hAnsi="Times New Roman"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Symbol"/>
    </w:rPr>
  </w:style>
  <w:style w:type="character" w:customStyle="1" w:styleId="ListLabel342">
    <w:name w:val="ListLabel 342"/>
    <w:qFormat/>
    <w:rPr>
      <w:rFonts w:cs="Courier New"/>
    </w:rPr>
  </w:style>
  <w:style w:type="character" w:customStyle="1" w:styleId="ListLabel343">
    <w:name w:val="ListLabel 343"/>
    <w:qFormat/>
    <w:rPr>
      <w:rFonts w:cs="Wingdings"/>
    </w:rPr>
  </w:style>
  <w:style w:type="character" w:customStyle="1" w:styleId="ListLabel344">
    <w:name w:val="ListLabel 344"/>
    <w:qFormat/>
    <w:rPr>
      <w:rFonts w:ascii="Times New Roman" w:hAnsi="Times New Roman" w:cs="Symbol"/>
    </w:rPr>
  </w:style>
  <w:style w:type="character" w:customStyle="1" w:styleId="ListLabel345">
    <w:name w:val="ListLabel 345"/>
    <w:qFormat/>
    <w:rPr>
      <w:rFonts w:cs="Courier New"/>
    </w:rPr>
  </w:style>
  <w:style w:type="character" w:customStyle="1" w:styleId="ListLabel346">
    <w:name w:val="ListLabel 346"/>
    <w:qFormat/>
    <w:rPr>
      <w:rFonts w:cs="Wingdings"/>
    </w:rPr>
  </w:style>
  <w:style w:type="character" w:customStyle="1" w:styleId="ListLabel347">
    <w:name w:val="ListLabel 347"/>
    <w:qFormat/>
    <w:rPr>
      <w:rFonts w:cs="Symbol"/>
    </w:rPr>
  </w:style>
  <w:style w:type="character" w:customStyle="1" w:styleId="ListLabel348">
    <w:name w:val="ListLabel 348"/>
    <w:qFormat/>
    <w:rPr>
      <w:rFonts w:cs="Courier New"/>
    </w:rPr>
  </w:style>
  <w:style w:type="character" w:customStyle="1" w:styleId="ListLabel349">
    <w:name w:val="ListLabel 349"/>
    <w:qFormat/>
    <w:rPr>
      <w:rFonts w:cs="Wingdings"/>
    </w:rPr>
  </w:style>
  <w:style w:type="character" w:customStyle="1" w:styleId="ListLabel350">
    <w:name w:val="ListLabel 350"/>
    <w:qFormat/>
    <w:rPr>
      <w:rFonts w:cs="Symbol"/>
    </w:rPr>
  </w:style>
  <w:style w:type="character" w:customStyle="1" w:styleId="ListLabel351">
    <w:name w:val="ListLabel 351"/>
    <w:qFormat/>
    <w:rPr>
      <w:rFonts w:cs="Courier New"/>
    </w:rPr>
  </w:style>
  <w:style w:type="character" w:customStyle="1" w:styleId="ListLabel352">
    <w:name w:val="ListLabel 35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D64B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E5210"/>
    <w:pPr>
      <w:ind w:left="720"/>
      <w:contextualSpacing/>
    </w:pPr>
  </w:style>
  <w:style w:type="paragraph" w:styleId="Bezodstpw">
    <w:name w:val="No Spacing"/>
    <w:uiPriority w:val="1"/>
    <w:qFormat/>
    <w:rsid w:val="003E1341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454C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D64B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AkapitzlistArial12ptCzarnyWyjustowanyPrzed6">
    <w:name w:val="Styl Akapit z listą + Arial 12 pt Czarny Wyjustowany Przed:  6..."/>
    <w:basedOn w:val="Akapitzlist"/>
    <w:autoRedefine/>
    <w:qFormat/>
    <w:rsid w:val="008E4026"/>
    <w:pPr>
      <w:tabs>
        <w:tab w:val="left" w:pos="709"/>
        <w:tab w:val="left" w:pos="1418"/>
      </w:tabs>
      <w:spacing w:before="240" w:after="0" w:line="240" w:lineRule="auto"/>
      <w:ind w:left="709" w:hanging="284"/>
    </w:pPr>
    <w:rPr>
      <w:rFonts w:ascii="Bookman Old Style" w:eastAsia="Times New Roman" w:hAnsi="Bookman Old Style" w:cs="Arial"/>
      <w:szCs w:val="24"/>
      <w:lang w:eastAsia="pl-PL"/>
    </w:rPr>
  </w:style>
  <w:style w:type="table" w:styleId="Tabela-Siatka">
    <w:name w:val="Table Grid"/>
    <w:basedOn w:val="Standardowy"/>
    <w:uiPriority w:val="59"/>
    <w:rsid w:val="003346B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8442-0FC9-47B4-814E-D5FE36E01FE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D087DC-ECF3-4A70-A476-ECEBFED72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1873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w.siepak</dc:creator>
  <dc:description/>
  <cp:lastModifiedBy>Jaworek Klaudia</cp:lastModifiedBy>
  <cp:revision>5</cp:revision>
  <cp:lastPrinted>2025-01-03T09:36:00Z</cp:lastPrinted>
  <dcterms:created xsi:type="dcterms:W3CDTF">2024-12-31T06:23:00Z</dcterms:created>
  <dcterms:modified xsi:type="dcterms:W3CDTF">2025-01-03T09:36:00Z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sw0J77wQ/XGoHaAzqPGrh9fLRpc1rFch</vt:lpwstr>
  </property>
  <property fmtid="{D5CDD505-2E9C-101B-9397-08002B2CF9AE}" pid="14" name="docIndexRef">
    <vt:lpwstr>0772a527-0e5b-46e2-8f90-379eadfa7c6b</vt:lpwstr>
  </property>
  <property fmtid="{D5CDD505-2E9C-101B-9397-08002B2CF9AE}" pid="15" name="s5636:Creator type=author">
    <vt:lpwstr>w.siepak</vt:lpwstr>
  </property>
  <property fmtid="{D5CDD505-2E9C-101B-9397-08002B2CF9AE}" pid="16" name="s5636:Creator type=organization">
    <vt:lpwstr>MILNET-Z</vt:lpwstr>
  </property>
  <property fmtid="{D5CDD505-2E9C-101B-9397-08002B2CF9AE}" pid="17" name="s5636:Creator type=IP">
    <vt:lpwstr>10.90.35.148</vt:lpwstr>
  </property>
  <property fmtid="{D5CDD505-2E9C-101B-9397-08002B2CF9AE}" pid="18" name="bjPortionMark">
    <vt:lpwstr>[]</vt:lpwstr>
  </property>
</Properties>
</file>