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7FD6" w14:textId="77777777" w:rsidR="0099056E" w:rsidRPr="0099056E" w:rsidRDefault="0099056E" w:rsidP="0099056E">
      <w:pPr>
        <w:spacing w:after="200" w:line="276" w:lineRule="auto"/>
        <w:ind w:firstLine="0"/>
        <w:jc w:val="right"/>
        <w:rPr>
          <w:rFonts w:ascii="Times New Roman" w:eastAsia="Calibri" w:hAnsi="Times New Roman"/>
        </w:rPr>
      </w:pPr>
      <w:bookmarkStart w:id="0" w:name="_Toc504558473"/>
      <w:r w:rsidRPr="0099056E">
        <w:rPr>
          <w:rFonts w:ascii="Times New Roman" w:eastAsia="Calibri" w:hAnsi="Times New Roman"/>
        </w:rPr>
        <w:t>Szczegółowe Specyfikacje Techniczne</w:t>
      </w:r>
    </w:p>
    <w:p w14:paraId="3640FACD" w14:textId="77777777" w:rsidR="0099056E" w:rsidRPr="0099056E" w:rsidRDefault="0099056E" w:rsidP="0099056E">
      <w:pPr>
        <w:spacing w:after="200" w:line="276" w:lineRule="auto"/>
        <w:ind w:firstLine="0"/>
        <w:jc w:val="right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056E" w:rsidRPr="0099056E" w14:paraId="5793EFCC" w14:textId="77777777" w:rsidTr="00F76D0F">
        <w:trPr>
          <w:trHeight w:val="2048"/>
        </w:trPr>
        <w:tc>
          <w:tcPr>
            <w:tcW w:w="9212" w:type="dxa"/>
            <w:shd w:val="clear" w:color="auto" w:fill="auto"/>
          </w:tcPr>
          <w:p w14:paraId="75E25DF1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</w:p>
          <w:p w14:paraId="083ACDBB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</w:rPr>
            </w:pPr>
            <w:r w:rsidRPr="0099056E">
              <w:rPr>
                <w:rFonts w:ascii="Times New Roman" w:eastAsia="Calibri" w:hAnsi="Times New Roman"/>
                <w:b/>
                <w:i/>
                <w:sz w:val="40"/>
                <w:szCs w:val="40"/>
              </w:rPr>
              <w:t xml:space="preserve">SZCZEGÓŁOWE SPECYFIKACJE TECHNICZNE </w:t>
            </w:r>
          </w:p>
          <w:p w14:paraId="52F3370E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99056E">
              <w:rPr>
                <w:rFonts w:ascii="Times New Roman" w:eastAsia="Calibri" w:hAnsi="Times New Roman"/>
                <w:b/>
                <w:i/>
                <w:sz w:val="40"/>
                <w:szCs w:val="40"/>
              </w:rPr>
              <w:t>WYKONANIA I ODBIORU ROBÓT BUDOWLANYCH</w:t>
            </w:r>
          </w:p>
        </w:tc>
      </w:tr>
    </w:tbl>
    <w:p w14:paraId="61634B89" w14:textId="77777777" w:rsidR="0099056E" w:rsidRPr="0099056E" w:rsidRDefault="0099056E" w:rsidP="0099056E">
      <w:pPr>
        <w:spacing w:after="200" w:line="276" w:lineRule="auto"/>
        <w:ind w:firstLine="0"/>
        <w:rPr>
          <w:rFonts w:ascii="Times New Roman" w:eastAsia="Calibri" w:hAnsi="Times New Roman"/>
        </w:rPr>
      </w:pPr>
    </w:p>
    <w:p w14:paraId="3955AC39" w14:textId="77777777"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sz w:val="28"/>
          <w:szCs w:val="28"/>
        </w:rPr>
        <w:t xml:space="preserve">Zamawiający: </w:t>
      </w:r>
      <w:r w:rsidRPr="0099056E">
        <w:rPr>
          <w:rFonts w:ascii="Times New Roman" w:eastAsia="Calibri" w:hAnsi="Times New Roman"/>
          <w:sz w:val="28"/>
          <w:szCs w:val="28"/>
        </w:rPr>
        <w:tab/>
      </w:r>
      <w:r w:rsidRPr="0099056E">
        <w:rPr>
          <w:rFonts w:ascii="Times New Roman" w:eastAsia="Calibri" w:hAnsi="Times New Roman"/>
          <w:sz w:val="28"/>
          <w:szCs w:val="28"/>
        </w:rPr>
        <w:tab/>
      </w:r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 xml:space="preserve">POWIATOWY ZARZĄD DRÓG W IŁAWIE, </w:t>
      </w:r>
    </w:p>
    <w:p w14:paraId="26BCDE4D" w14:textId="77777777"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left="2832" w:firstLine="0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>ul. Tadeusza Kościuszki 33A</w:t>
      </w:r>
    </w:p>
    <w:p w14:paraId="36A8F069" w14:textId="77777777"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left="2832" w:firstLine="0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  <w:t>14 – 200 Iława</w:t>
      </w:r>
    </w:p>
    <w:p w14:paraId="0A1BCE14" w14:textId="77777777" w:rsidR="0099056E" w:rsidRPr="0099056E" w:rsidRDefault="0099056E" w:rsidP="0099056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</w:p>
    <w:p w14:paraId="67BD9840" w14:textId="4FFC7235" w:rsidR="0099056E" w:rsidRPr="0099056E" w:rsidRDefault="0099056E" w:rsidP="0099056E">
      <w:pPr>
        <w:widowControl w:val="0"/>
        <w:autoSpaceDE w:val="0"/>
        <w:autoSpaceDN w:val="0"/>
        <w:adjustRightInd w:val="0"/>
        <w:spacing w:after="200" w:line="276" w:lineRule="auto"/>
        <w:ind w:left="2832" w:hanging="2832"/>
        <w:jc w:val="both"/>
        <w:rPr>
          <w:rFonts w:ascii="Times New Roman" w:eastAsia="Calibri" w:hAnsi="Times New Roman"/>
          <w:b/>
          <w:color w:val="000000"/>
          <w:sz w:val="28"/>
          <w:szCs w:val="28"/>
          <w:highlight w:val="white"/>
        </w:rPr>
      </w:pPr>
      <w:r w:rsidRPr="0099056E">
        <w:rPr>
          <w:rFonts w:ascii="Times New Roman" w:eastAsia="Calibri" w:hAnsi="Times New Roman"/>
          <w:bCs/>
          <w:sz w:val="28"/>
          <w:szCs w:val="28"/>
        </w:rPr>
        <w:t>Zadanie:</w:t>
      </w:r>
      <w:r w:rsidRPr="0099056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99056E">
        <w:rPr>
          <w:rFonts w:ascii="Times New Roman" w:eastAsia="Calibri" w:hAnsi="Times New Roman"/>
          <w:b/>
          <w:bCs/>
          <w:sz w:val="28"/>
          <w:szCs w:val="28"/>
        </w:rPr>
        <w:tab/>
      </w:r>
      <w:r w:rsidR="00712B04">
        <w:rPr>
          <w:rFonts w:ascii="Times New Roman" w:eastAsia="Calibri" w:hAnsi="Times New Roman"/>
          <w:b/>
          <w:bCs/>
          <w:sz w:val="28"/>
          <w:szCs w:val="28"/>
        </w:rPr>
        <w:t>M</w:t>
      </w:r>
      <w:r w:rsidR="00712B04" w:rsidRPr="00712B04">
        <w:rPr>
          <w:rFonts w:ascii="Times New Roman" w:eastAsia="Calibri" w:hAnsi="Times New Roman"/>
          <w:b/>
          <w:bCs/>
          <w:sz w:val="28"/>
          <w:szCs w:val="28"/>
        </w:rPr>
        <w:t>ontaż barier i poręczy w ciągu dróg powiatowych</w:t>
      </w:r>
    </w:p>
    <w:p w14:paraId="6F86B7EC" w14:textId="77777777" w:rsidR="0099056E" w:rsidRPr="0099056E" w:rsidRDefault="0099056E" w:rsidP="0099056E">
      <w:pPr>
        <w:ind w:firstLine="0"/>
        <w:rPr>
          <w:rFonts w:ascii="Times New Roman" w:eastAsia="Calibri" w:hAnsi="Times New Roman"/>
          <w:sz w:val="24"/>
          <w:szCs w:val="24"/>
          <w:u w:val="single"/>
        </w:rPr>
      </w:pPr>
      <w:r w:rsidRPr="0099056E">
        <w:rPr>
          <w:rFonts w:ascii="Times New Roman" w:eastAsia="Calibri" w:hAnsi="Times New Roman"/>
          <w:sz w:val="24"/>
          <w:szCs w:val="24"/>
          <w:u w:val="single"/>
        </w:rPr>
        <w:t>Spis treści:</w:t>
      </w:r>
    </w:p>
    <w:p w14:paraId="1E4ACF6C" w14:textId="77777777" w:rsidR="0099056E" w:rsidRPr="0099056E" w:rsidRDefault="0099056E" w:rsidP="0099056E">
      <w:pPr>
        <w:ind w:firstLine="0"/>
        <w:rPr>
          <w:rFonts w:ascii="Times New Roman" w:eastAsia="Calibri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550"/>
        <w:gridCol w:w="6237"/>
        <w:gridCol w:w="881"/>
      </w:tblGrid>
      <w:tr w:rsidR="0099056E" w:rsidRPr="0099056E" w14:paraId="585BDA13" w14:textId="77777777" w:rsidTr="00F76D0F">
        <w:tc>
          <w:tcPr>
            <w:tcW w:w="543" w:type="dxa"/>
            <w:shd w:val="clear" w:color="auto" w:fill="auto"/>
          </w:tcPr>
          <w:p w14:paraId="37043149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1550" w:type="dxa"/>
            <w:shd w:val="clear" w:color="auto" w:fill="auto"/>
          </w:tcPr>
          <w:p w14:paraId="36E38933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Nr SST</w:t>
            </w:r>
          </w:p>
        </w:tc>
        <w:tc>
          <w:tcPr>
            <w:tcW w:w="6237" w:type="dxa"/>
            <w:shd w:val="clear" w:color="auto" w:fill="auto"/>
          </w:tcPr>
          <w:p w14:paraId="52132E89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Nazwa</w:t>
            </w:r>
          </w:p>
        </w:tc>
        <w:tc>
          <w:tcPr>
            <w:tcW w:w="881" w:type="dxa"/>
            <w:shd w:val="clear" w:color="auto" w:fill="auto"/>
          </w:tcPr>
          <w:p w14:paraId="44ED22C6" w14:textId="77777777" w:rsidR="0099056E" w:rsidRPr="0099056E" w:rsidRDefault="0099056E" w:rsidP="0099056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Nr str.</w:t>
            </w:r>
          </w:p>
        </w:tc>
      </w:tr>
      <w:tr w:rsidR="0099056E" w:rsidRPr="0099056E" w14:paraId="4148ED7F" w14:textId="77777777" w:rsidTr="00F76D0F">
        <w:tc>
          <w:tcPr>
            <w:tcW w:w="543" w:type="dxa"/>
            <w:shd w:val="clear" w:color="auto" w:fill="auto"/>
          </w:tcPr>
          <w:p w14:paraId="56C9E411" w14:textId="77777777" w:rsidR="0099056E" w:rsidRPr="0099056E" w:rsidRDefault="0099056E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14:paraId="1A3F3FDD" w14:textId="77777777" w:rsidR="0099056E" w:rsidRPr="0099056E" w:rsidRDefault="0099056E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781B30B" w14:textId="16777D33" w:rsidR="0099056E" w:rsidRPr="0099056E" w:rsidRDefault="00160B48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BARIERY </w:t>
            </w:r>
            <w:r w:rsidR="00CE739A" w:rsidRPr="00CE739A">
              <w:rPr>
                <w:rFonts w:ascii="Times New Roman" w:eastAsia="Calibri" w:hAnsi="Times New Roman"/>
                <w:sz w:val="24"/>
                <w:szCs w:val="24"/>
              </w:rPr>
              <w:t>OCHRONNE  STALOWE</w:t>
            </w:r>
          </w:p>
        </w:tc>
        <w:tc>
          <w:tcPr>
            <w:tcW w:w="881" w:type="dxa"/>
            <w:shd w:val="clear" w:color="auto" w:fill="auto"/>
          </w:tcPr>
          <w:p w14:paraId="15BE517D" w14:textId="77777777" w:rsidR="0099056E" w:rsidRPr="0099056E" w:rsidRDefault="0099056E" w:rsidP="0099056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9056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14:paraId="25CBE6BF" w14:textId="77777777" w:rsidR="00A01967" w:rsidRDefault="00A01967" w:rsidP="00C8450D">
      <w:pPr>
        <w:pStyle w:val="SSTnag1"/>
        <w:numPr>
          <w:ilvl w:val="0"/>
          <w:numId w:val="0"/>
        </w:numPr>
        <w:ind w:left="357"/>
      </w:pPr>
    </w:p>
    <w:p w14:paraId="1A5FFD6A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6F897EAE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08CDDBBD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5C73A552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5B9A1573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4135D4BD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492F2915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3147DCFA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2CF52E33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54FA2A06" w14:textId="77777777" w:rsidR="00CC7409" w:rsidRDefault="00CC7409" w:rsidP="00C8450D">
      <w:pPr>
        <w:pStyle w:val="SSTnag1"/>
        <w:numPr>
          <w:ilvl w:val="0"/>
          <w:numId w:val="0"/>
        </w:numPr>
        <w:ind w:left="357"/>
      </w:pPr>
    </w:p>
    <w:p w14:paraId="1C2B1DAB" w14:textId="77777777" w:rsidR="00CC7409" w:rsidRDefault="00CC7409" w:rsidP="00C8450D">
      <w:pPr>
        <w:pStyle w:val="SSTnag1"/>
        <w:numPr>
          <w:ilvl w:val="0"/>
          <w:numId w:val="0"/>
        </w:numPr>
        <w:ind w:left="357"/>
      </w:pPr>
    </w:p>
    <w:p w14:paraId="3D1DFBC4" w14:textId="77777777" w:rsidR="002968C1" w:rsidRDefault="002968C1" w:rsidP="00C8450D">
      <w:pPr>
        <w:pStyle w:val="SSTnag1"/>
        <w:numPr>
          <w:ilvl w:val="0"/>
          <w:numId w:val="0"/>
        </w:numPr>
        <w:ind w:left="357"/>
      </w:pPr>
    </w:p>
    <w:p w14:paraId="445EBD09" w14:textId="77777777" w:rsidR="00712B04" w:rsidRDefault="00712B04" w:rsidP="00C8450D">
      <w:pPr>
        <w:pStyle w:val="SSTnag1"/>
        <w:numPr>
          <w:ilvl w:val="0"/>
          <w:numId w:val="0"/>
        </w:numPr>
        <w:ind w:left="357"/>
      </w:pPr>
    </w:p>
    <w:p w14:paraId="42507574" w14:textId="0186DE96" w:rsidR="00A01967" w:rsidRPr="00DF062B" w:rsidRDefault="00160B48" w:rsidP="00C8450D">
      <w:pPr>
        <w:pStyle w:val="SSTnag1"/>
      </w:pPr>
      <w:r>
        <w:lastRenderedPageBreak/>
        <w:t>M.19.01.03</w:t>
      </w:r>
      <w:r>
        <w:tab/>
        <w:t xml:space="preserve">BARIERY </w:t>
      </w:r>
      <w:r w:rsidR="00A01967" w:rsidRPr="00DF062B">
        <w:t>OCHRONNE  STALOWE</w:t>
      </w:r>
      <w:bookmarkEnd w:id="0"/>
      <w:r w:rsidR="00A01967" w:rsidRPr="00DF062B">
        <w:t xml:space="preserve"> </w:t>
      </w:r>
    </w:p>
    <w:p w14:paraId="23B6C885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WSTĘP</w:t>
      </w:r>
    </w:p>
    <w:p w14:paraId="363766F1" w14:textId="77777777" w:rsidR="00A01967" w:rsidRPr="00DF062B" w:rsidRDefault="00A01967" w:rsidP="00A01967">
      <w:pPr>
        <w:pStyle w:val="SSTnag3"/>
      </w:pPr>
      <w:r w:rsidRPr="00DF062B">
        <w:t>Przedmiot STWiORB</w:t>
      </w:r>
    </w:p>
    <w:p w14:paraId="0674F01D" w14:textId="152FB141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>Przedmiotem niniejszej Szczegółowej Specyfikacji Technicznej są wymagania dotyczące wykonania i odbioru robót związanych z realizacją na drogach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barier </w:t>
      </w:r>
      <w:r w:rsidRPr="00DF062B">
        <w:rPr>
          <w:rFonts w:asciiTheme="minorHAnsi" w:hAnsiTheme="minorHAnsi" w:cstheme="minorHAnsi"/>
          <w:sz w:val="18"/>
          <w:szCs w:val="18"/>
        </w:rPr>
        <w:t>stalowych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4F2C43BA" w14:textId="77777777" w:rsidR="00A01967" w:rsidRPr="00DF062B" w:rsidRDefault="00A01967" w:rsidP="00A01967">
      <w:pPr>
        <w:pStyle w:val="SSTnag3"/>
      </w:pPr>
      <w:r w:rsidRPr="00DF062B">
        <w:t>Zakres stosowania STWiORB</w:t>
      </w:r>
    </w:p>
    <w:p w14:paraId="702F2370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Szczegółowa Specyfikacja Techniczna jest stosowana jako dokument przetargowy i kontaktowy przy zlecaniu i realizacji robót wymienionych w punkcie 1.1.</w:t>
      </w:r>
    </w:p>
    <w:p w14:paraId="5B6F7CF7" w14:textId="77777777" w:rsidR="00A01967" w:rsidRPr="00DF062B" w:rsidRDefault="00A01967" w:rsidP="00A01967">
      <w:pPr>
        <w:pStyle w:val="SSTnag3"/>
      </w:pPr>
      <w:r w:rsidRPr="00DF062B">
        <w:t>Zakres robot objętych STWiORB</w:t>
      </w:r>
    </w:p>
    <w:p w14:paraId="5F1A048B" w14:textId="1D18FFF4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Ustalenia zawarte w niniejszej specyfikacji dotyczą zasad prowadzenia robót związanych z wykonywaniem 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barier </w:t>
      </w:r>
      <w:r w:rsidRPr="00DF062B">
        <w:rPr>
          <w:rFonts w:asciiTheme="minorHAnsi" w:hAnsiTheme="minorHAnsi" w:cstheme="minorHAnsi"/>
          <w:sz w:val="18"/>
          <w:szCs w:val="18"/>
        </w:rPr>
        <w:t>ochronnych stalowych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  <w:r w:rsidR="00712B04">
        <w:rPr>
          <w:rFonts w:asciiTheme="minorHAnsi" w:hAnsiTheme="minorHAnsi" w:cstheme="minorHAnsi"/>
          <w:sz w:val="18"/>
          <w:szCs w:val="18"/>
          <w:lang w:val="pl-PL"/>
        </w:rPr>
        <w:t>B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>arierę  ochronną drogową  N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>/</w:t>
      </w:r>
      <w:r w:rsidR="00136AC6">
        <w:rPr>
          <w:rFonts w:asciiTheme="minorHAnsi" w:hAnsiTheme="minorHAnsi" w:cstheme="minorHAnsi"/>
          <w:sz w:val="18"/>
          <w:szCs w:val="18"/>
          <w:lang w:val="pl-PL"/>
        </w:rPr>
        <w:t>W2A.</w:t>
      </w:r>
    </w:p>
    <w:p w14:paraId="042D2928" w14:textId="77777777" w:rsidR="00A01967" w:rsidRPr="00DF062B" w:rsidRDefault="00A01967" w:rsidP="00A01967">
      <w:pPr>
        <w:pStyle w:val="SSTnag3"/>
      </w:pPr>
      <w:r w:rsidRPr="00DF062B">
        <w:t>Określenia podstawowe</w:t>
      </w:r>
    </w:p>
    <w:p w14:paraId="5390A325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Określenia podstawowe są zgodne z obowiązują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cymi, odpowiednimi polskimi normami i z definicjami podanymi w STWiORB DM.00.00.00 „Wymagania ogólne” pkt 1.4.</w:t>
      </w:r>
    </w:p>
    <w:p w14:paraId="6ECFA472" w14:textId="77777777" w:rsidR="00A01967" w:rsidRPr="00DF062B" w:rsidRDefault="00A01967" w:rsidP="00A01967">
      <w:pPr>
        <w:pStyle w:val="SSTnag3"/>
      </w:pPr>
      <w:r w:rsidRPr="00DF062B">
        <w:t>Ogólne wymagania dotyczące robót</w:t>
      </w:r>
    </w:p>
    <w:p w14:paraId="2EE499BC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wymagania dotyczące robót podano w STWiORB DM.00.00.00 „Wymagania ogólne” pkt 1.5.</w:t>
      </w:r>
    </w:p>
    <w:p w14:paraId="12EA7F91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MATERIAŁY</w:t>
      </w:r>
    </w:p>
    <w:p w14:paraId="492C8EFA" w14:textId="77777777" w:rsidR="00A01967" w:rsidRPr="00DF062B" w:rsidRDefault="00A01967" w:rsidP="00A01967">
      <w:pPr>
        <w:pStyle w:val="SSTnag3"/>
      </w:pPr>
      <w:r w:rsidRPr="00DF062B">
        <w:t>Ogólne wymagania dotyczące materiałów</w:t>
      </w:r>
    </w:p>
    <w:p w14:paraId="4D75FA97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wymagania dotyczące materiałów, ich pozyskiwania i składowania, podano w STWiORB DM.00.00.00 „Wymagania ogólne” pkt 2.</w:t>
      </w:r>
    </w:p>
    <w:p w14:paraId="421B50AA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Za sprawdzenie przydatności materiałów oraz jakość wbudowania odpowiada Wykonawca. Należy stosować materiały, które są oznakowane CE lub B, a przed przystąpieniem do wbudowania Wykonawca zobowiązany jest do przedstawienia dla każdej dostawy deklarację zgodności z Polską Normą, normą zharmonizowaną,  aprobatą techniczną wydaną przez IBDiM lub europejską aprobatą techniczną.</w:t>
      </w:r>
    </w:p>
    <w:p w14:paraId="2CF2737C" w14:textId="77777777" w:rsidR="00A01967" w:rsidRPr="00DF062B" w:rsidRDefault="00A01967" w:rsidP="00A01967">
      <w:pPr>
        <w:pStyle w:val="SSTnag3"/>
      </w:pPr>
      <w:r w:rsidRPr="00DF062B">
        <w:t>Materiały do wykonania barier ochronnych stalowych</w:t>
      </w:r>
    </w:p>
    <w:p w14:paraId="6C451AD6" w14:textId="77777777" w:rsidR="00A01967" w:rsidRPr="00A01967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>Stalowe barier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o-poręcze</w:t>
      </w:r>
      <w:r w:rsidRPr="00DF062B">
        <w:rPr>
          <w:rFonts w:asciiTheme="minorHAnsi" w:hAnsiTheme="minorHAnsi" w:cstheme="minorHAnsi"/>
          <w:sz w:val="18"/>
          <w:szCs w:val="18"/>
        </w:rPr>
        <w:t xml:space="preserve">, jak również wszystkie ich elementy składowe powinny spełniać wymagania określone w „Wytycznych stosowania drogowych barier ochronnych na drogach krajowych” wydanych przez GDDKiA, </w:t>
      </w:r>
      <w:r>
        <w:rPr>
          <w:rFonts w:asciiTheme="minorHAnsi" w:hAnsiTheme="minorHAnsi" w:cstheme="minorHAnsi"/>
          <w:sz w:val="18"/>
          <w:szCs w:val="18"/>
        </w:rPr>
        <w:t>być zgodne z normami PN-EN 1317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322365D3" w14:textId="75A77E56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Stalowe barier</w:t>
      </w:r>
      <w:r w:rsidR="008E1787">
        <w:rPr>
          <w:rFonts w:asciiTheme="minorHAnsi" w:hAnsiTheme="minorHAnsi" w:cstheme="minorHAnsi"/>
          <w:sz w:val="18"/>
          <w:szCs w:val="18"/>
        </w:rPr>
        <w:t>y</w:t>
      </w:r>
      <w:r w:rsidRPr="00DF062B">
        <w:rPr>
          <w:rFonts w:asciiTheme="minorHAnsi" w:hAnsiTheme="minorHAnsi" w:cstheme="minorHAnsi"/>
          <w:sz w:val="18"/>
          <w:szCs w:val="18"/>
        </w:rPr>
        <w:t xml:space="preserve"> dostarczone na budowę powinny mieć atesty i gwarancje trwałości producenta, certyfikat na znak bezpieczeństwa i oznaczenia tym znakiem wyrobów bariery ochronnej, jak również aprobaty techniczne i deklaracje zgodności jak w p. 2.1 STWiORB.</w:t>
      </w:r>
    </w:p>
    <w:p w14:paraId="130620A7" w14:textId="631FFDF8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Wszystkie elementy barier ochronnych powinny być zaprojektowane na okres użytkowania nie krótszy niż 20 lat. Materiały powinny zostać zaakceptowane przez </w:t>
      </w:r>
      <w:r w:rsidR="009937BD">
        <w:rPr>
          <w:rFonts w:asciiTheme="minorHAnsi" w:hAnsiTheme="minorHAnsi" w:cstheme="minorHAnsi"/>
          <w:sz w:val="18"/>
          <w:szCs w:val="18"/>
          <w:lang w:val="pl-PL"/>
        </w:rPr>
        <w:t>Inwestora</w:t>
      </w:r>
      <w:r w:rsidRPr="00DF062B">
        <w:rPr>
          <w:rFonts w:asciiTheme="minorHAnsi" w:hAnsiTheme="minorHAnsi" w:cstheme="minorHAnsi"/>
          <w:sz w:val="18"/>
          <w:szCs w:val="18"/>
        </w:rPr>
        <w:t>.</w:t>
      </w:r>
    </w:p>
    <w:p w14:paraId="6D1F67B4" w14:textId="5D5EF420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Sposób zabezpieczenia antykorozyjnego elementów barier us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tala producent w taki sposób, aby zapewnić trwałość powłoki antykorozyjnej przez okres 5 do 10 lat w warunkach normalnych, do co najmniej 3 do 5 lat w środowisku o zwiększonej korozyjności. W przypadku braku wystarczających danych minimalna grubość powłoki cyn</w:t>
      </w:r>
      <w:r w:rsidRPr="00DF062B">
        <w:rPr>
          <w:rFonts w:asciiTheme="minorHAnsi" w:hAnsiTheme="minorHAnsi" w:cstheme="minorHAnsi"/>
          <w:sz w:val="18"/>
          <w:szCs w:val="18"/>
        </w:rPr>
        <w:softHyphen/>
        <w:t xml:space="preserve">kowej powinna wynosić 60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006D"/>
      </w:r>
      <w:r w:rsidRPr="00DF062B">
        <w:rPr>
          <w:rFonts w:asciiTheme="minorHAnsi" w:hAnsiTheme="minorHAnsi" w:cstheme="minorHAnsi"/>
          <w:sz w:val="18"/>
          <w:szCs w:val="18"/>
        </w:rPr>
        <w:t>m.</w:t>
      </w:r>
    </w:p>
    <w:p w14:paraId="68DA57B4" w14:textId="0601BD09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  <w:lang w:val="pl-PL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Wg niniejszej STWiORB materiałem są 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>bariery</w:t>
      </w:r>
      <w:r w:rsidR="00B2477F">
        <w:rPr>
          <w:rFonts w:asciiTheme="minorHAnsi" w:hAnsiTheme="minorHAnsi" w:cstheme="minorHAnsi"/>
          <w:sz w:val="18"/>
          <w:szCs w:val="18"/>
          <w:lang w:val="pl-PL"/>
        </w:rPr>
        <w:t xml:space="preserve"> drogowe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DF062B">
        <w:rPr>
          <w:rFonts w:asciiTheme="minorHAnsi" w:hAnsiTheme="minorHAnsi" w:cstheme="minorHAnsi"/>
          <w:sz w:val="18"/>
          <w:szCs w:val="18"/>
        </w:rPr>
        <w:t>stalowe wg PN-EN 1317-2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: </w:t>
      </w:r>
      <w:r w:rsidR="009937BD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</w:t>
      </w:r>
    </w:p>
    <w:p w14:paraId="1B638336" w14:textId="77777777" w:rsidR="00A01967" w:rsidRPr="00DF062B" w:rsidRDefault="00A01967" w:rsidP="00712B04">
      <w:pPr>
        <w:pStyle w:val="sstnromalny"/>
        <w:ind w:left="708" w:firstLine="1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Powierzchnie elementów powinny być bez rys, pęknięć i ubyt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ków betonu. Krawędzie elementów powinny być równe i proste.</w:t>
      </w:r>
    </w:p>
    <w:p w14:paraId="53AD7AE5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barier powinny być wykonane zgodnie z aprobatą techniczną lub normą. </w:t>
      </w:r>
    </w:p>
    <w:p w14:paraId="41507995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Profile stalowe powinny być wykonane ze stali o właściwościach nie gorszych niż S235JR wg PN-EN 10025-1. </w:t>
      </w:r>
    </w:p>
    <w:p w14:paraId="47553387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Prowadnica bariery powinna spełniać wymagania PN-EN 10162. </w:t>
      </w:r>
    </w:p>
    <w:p w14:paraId="2AA69930" w14:textId="77777777" w:rsidR="00A01967" w:rsidRPr="00DF062B" w:rsidRDefault="00A01967" w:rsidP="00712B04">
      <w:pPr>
        <w:pStyle w:val="sstnromalny"/>
        <w:ind w:left="708" w:firstLine="1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montażowe barier - przekładki, wsporniki, łączniki ukośne, śruby, nakrętki itp. powinny być zgodne z ofertą producenta barier w zakresie wymiarów, odchyłek wymiarów, rozmieszczenia otworów, rodzaju materiałów i powinny być zabezpieczone przed korozją. </w:t>
      </w:r>
    </w:p>
    <w:p w14:paraId="544F836E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14:paraId="0971E742" w14:textId="77777777" w:rsidR="00A01967" w:rsidRPr="00DF062B" w:rsidRDefault="00A01967" w:rsidP="00712B04">
      <w:pPr>
        <w:pStyle w:val="sstnromalny"/>
        <w:ind w:left="708" w:firstLine="1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Wszystkie elementy stalowe barier powinny być przez producenta zabezpieczone antykorozyjnie przez ocynkowanie ogniowe zgodnie z PN-EN ISO 1461 w taki sposób, aby zapewnić trwałość powłoki przez okres co najmniej 25 lat. </w:t>
      </w:r>
    </w:p>
    <w:p w14:paraId="71C18FB6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Elementy powinny być ocynkowane w wytwórni. </w:t>
      </w:r>
    </w:p>
    <w:p w14:paraId="29B336EC" w14:textId="77777777" w:rsidR="00A01967" w:rsidRPr="00DF062B" w:rsidRDefault="00A01967" w:rsidP="002A7179">
      <w:pPr>
        <w:pStyle w:val="sstnromalny"/>
        <w:ind w:left="708" w:firstLine="1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 wykonaniu powłoki antykorozyjnej nie dopuszcza się wiercenia, cięcia (w tym cięcia gazowego) lub spawania prowadnic i słupków.</w:t>
      </w:r>
    </w:p>
    <w:p w14:paraId="46C7CD9B" w14:textId="77777777" w:rsidR="00A01967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14:paraId="5229E95C" w14:textId="77777777" w:rsidR="002A7179" w:rsidRDefault="002A7179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14:paraId="32B7F16B" w14:textId="77777777" w:rsidR="002A7179" w:rsidRDefault="002A7179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</w:p>
    <w:p w14:paraId="051F2306" w14:textId="77777777" w:rsidR="00A01967" w:rsidRPr="00DF062B" w:rsidRDefault="00A01967" w:rsidP="00A01967">
      <w:pPr>
        <w:pStyle w:val="SSTnag3"/>
      </w:pPr>
      <w:r w:rsidRPr="00DF062B">
        <w:t>Składowanie materiałów</w:t>
      </w:r>
    </w:p>
    <w:p w14:paraId="168F55E7" w14:textId="560556AF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lastRenderedPageBreak/>
        <w:t>Elementy dłuższe barier mogą być składowane pod zadaszeniem lub na otwartej przestrzeni, na podłożu wyrównanym i odwodnionym, przy czym elementy poszczególnych typów należy układać oddzielnie z ewentualnym zastosowaniem podkładek. Elementy montażowe i połączeniowe można składować w pojemnikach handlowych producenta.</w:t>
      </w:r>
    </w:p>
    <w:p w14:paraId="3A5F16F4" w14:textId="7C90406E" w:rsidR="00A01967" w:rsidRPr="002A7179" w:rsidRDefault="00A01967" w:rsidP="002A7179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Inne materiały należy przechowywać w sposób zgodny z zalece</w:t>
      </w:r>
      <w:r w:rsidRPr="00DF062B">
        <w:rPr>
          <w:rFonts w:asciiTheme="minorHAnsi" w:hAnsiTheme="minorHAnsi" w:cstheme="minorHAnsi"/>
          <w:sz w:val="18"/>
          <w:szCs w:val="18"/>
        </w:rPr>
        <w:softHyphen/>
        <w:t>niami producenta.</w:t>
      </w:r>
    </w:p>
    <w:p w14:paraId="6D006B53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transport</w:t>
      </w:r>
    </w:p>
    <w:p w14:paraId="44224371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wymagania dotyczące transportu podano w STWiORB DM.00.00.00 „Wymagania ogólne” pkt 4.</w:t>
      </w:r>
    </w:p>
    <w:p w14:paraId="71821C4A" w14:textId="3391C9F8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Transport elementów barier może odbywać się dowolnym środkiem transportu. Elementy konstrukcyjne barier nie powinny wystawać poza gabaryt środka transportu. </w:t>
      </w:r>
    </w:p>
    <w:p w14:paraId="278445B6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Elementy dłuższe (np. profilowaną taśmę stalową, pasy profilowe) należy przewozić w opakowaniach producenta. Elementy montażowe i połączeniowe zaleca się przewozić w pojemnikach handlowych producenta.</w:t>
      </w:r>
    </w:p>
    <w:p w14:paraId="1873104A" w14:textId="775660FA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Załadunek i wyładunek elementów konstrukcji barier można dokonywać za pomocą żurawi lub ręcznie. Przy załadunku i wyładunku, należy zabezpieczyć elementy konstrukcji przed pomieszaniem. Elementy barier należy przewozić w warunkach zabezpieczających wyroby przed korozją i uszkodzeniami mechanicznymi.</w:t>
      </w:r>
    </w:p>
    <w:p w14:paraId="06A2FFFC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wykonanie robót</w:t>
      </w:r>
    </w:p>
    <w:p w14:paraId="36430CD6" w14:textId="77777777" w:rsidR="00A01967" w:rsidRPr="00DF062B" w:rsidRDefault="00A01967" w:rsidP="00A01967">
      <w:pPr>
        <w:pStyle w:val="SSTnag3"/>
      </w:pPr>
      <w:r w:rsidRPr="00DF062B">
        <w:t>Ogólne zasady wykonania robót</w:t>
      </w:r>
    </w:p>
    <w:p w14:paraId="4550409D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zasady wykonania robót podano w STWiORB DM.00.00.00 „Wymagania ogólne” pkt 5.</w:t>
      </w:r>
    </w:p>
    <w:p w14:paraId="32CB9CD4" w14:textId="77777777" w:rsidR="00A01967" w:rsidRPr="00DF062B" w:rsidRDefault="00A01967" w:rsidP="00A01967">
      <w:pPr>
        <w:pStyle w:val="SSTnag3"/>
      </w:pPr>
      <w:r w:rsidRPr="00DF062B">
        <w:t>Roboty przygotowawcze</w:t>
      </w:r>
    </w:p>
    <w:p w14:paraId="484C4A08" w14:textId="572D8AF5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Przed wykonaniem właściwych robót należy, na podstawie  STWiORB lub wskazań </w:t>
      </w:r>
      <w:r w:rsidR="003861F8" w:rsidRPr="003861F8">
        <w:rPr>
          <w:rFonts w:asciiTheme="minorHAnsi" w:hAnsiTheme="minorHAnsi" w:cstheme="minorHAnsi"/>
          <w:sz w:val="18"/>
          <w:szCs w:val="18"/>
          <w:lang w:val="pl-PL"/>
        </w:rPr>
        <w:t>Inwestora</w:t>
      </w:r>
      <w:r w:rsidRPr="00DF062B">
        <w:rPr>
          <w:rFonts w:asciiTheme="minorHAnsi" w:hAnsiTheme="minorHAnsi" w:cstheme="minorHAnsi"/>
          <w:sz w:val="18"/>
          <w:szCs w:val="18"/>
        </w:rPr>
        <w:t>:</w:t>
      </w:r>
    </w:p>
    <w:p w14:paraId="31C0E6A7" w14:textId="15858AA3" w:rsidR="00A01967" w:rsidRPr="00DF062B" w:rsidRDefault="00A01967" w:rsidP="00A01967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wytyczyć trasę barier,</w:t>
      </w:r>
    </w:p>
    <w:p w14:paraId="2C5F57A6" w14:textId="5091E92A" w:rsidR="00A01967" w:rsidRPr="002A7179" w:rsidRDefault="00A01967" w:rsidP="002A7179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ustalić lokalizację słupków </w:t>
      </w:r>
    </w:p>
    <w:p w14:paraId="326B35C8" w14:textId="351467CC" w:rsidR="00A01967" w:rsidRPr="002A7179" w:rsidRDefault="00A01967" w:rsidP="002A7179">
      <w:pPr>
        <w:pStyle w:val="sstnromalny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określić miejsca odcinków początkowych i końcowych barier,</w:t>
      </w:r>
    </w:p>
    <w:p w14:paraId="55FB05EF" w14:textId="77777777" w:rsidR="00A01967" w:rsidRPr="00DF062B" w:rsidRDefault="00A01967" w:rsidP="00A01967">
      <w:pPr>
        <w:pStyle w:val="sstnromalny"/>
        <w:ind w:left="729" w:firstLine="0"/>
        <w:rPr>
          <w:rFonts w:asciiTheme="minorHAnsi" w:hAnsiTheme="minorHAnsi" w:cstheme="minorHAnsi"/>
          <w:sz w:val="18"/>
          <w:szCs w:val="18"/>
        </w:rPr>
      </w:pPr>
    </w:p>
    <w:p w14:paraId="40A4B89F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KONTROLA JAKOŚCI ROBÓT</w:t>
      </w:r>
    </w:p>
    <w:p w14:paraId="0A4B85E7" w14:textId="77777777" w:rsidR="00A01967" w:rsidRPr="00DF062B" w:rsidRDefault="00A01967" w:rsidP="00A01967">
      <w:pPr>
        <w:pStyle w:val="SSTnag3"/>
      </w:pPr>
      <w:r w:rsidRPr="00DF062B">
        <w:t>Ogólne zasady kontroli jakości robót</w:t>
      </w:r>
    </w:p>
    <w:p w14:paraId="0E5CB61A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zasady kontroli jakości robót podano w STWiORB DM.00.00.00 „Wymagania ogólne” pkt 6.</w:t>
      </w:r>
    </w:p>
    <w:p w14:paraId="15C2CC5A" w14:textId="77777777" w:rsidR="00A01967" w:rsidRPr="00DF062B" w:rsidRDefault="00A01967" w:rsidP="00A01967">
      <w:pPr>
        <w:pStyle w:val="SSTnag3"/>
      </w:pPr>
      <w:r w:rsidRPr="00DF062B">
        <w:t>Badania przed przystąpieniem do robót</w:t>
      </w:r>
    </w:p>
    <w:p w14:paraId="6D26686B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Przed przystąpieniem do robót Wykonawca powinien uzyskać wymagane dokumenty, dopuszczające wyroby budowlane do obrotu i powszechnego stosowania (certyfikaty zgodności, deklaracje zgodności, aprobaty techniczne, ew. badania materiałów wykonane przez dostawców itp.).</w:t>
      </w:r>
    </w:p>
    <w:p w14:paraId="7580B4E6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Wszystkie dokumenty oraz wyniki badań Wykonawca przedstawia </w:t>
      </w:r>
      <w:r w:rsidR="00937A4D" w:rsidRPr="00937A4D">
        <w:rPr>
          <w:rFonts w:asciiTheme="minorHAnsi" w:hAnsiTheme="minorHAnsi" w:cstheme="minorHAnsi"/>
          <w:sz w:val="18"/>
          <w:szCs w:val="18"/>
          <w:lang w:val="pl-PL"/>
        </w:rPr>
        <w:t>Inwestor</w:t>
      </w:r>
      <w:r w:rsidR="00937A4D">
        <w:rPr>
          <w:rFonts w:asciiTheme="minorHAnsi" w:hAnsiTheme="minorHAnsi" w:cstheme="minorHAnsi"/>
          <w:sz w:val="18"/>
          <w:szCs w:val="18"/>
          <w:lang w:val="pl-PL"/>
        </w:rPr>
        <w:t>owi</w:t>
      </w:r>
      <w:r w:rsidRPr="00DF062B">
        <w:rPr>
          <w:rFonts w:asciiTheme="minorHAnsi" w:hAnsiTheme="minorHAnsi" w:cstheme="minorHAnsi"/>
          <w:sz w:val="18"/>
          <w:szCs w:val="18"/>
        </w:rPr>
        <w:t xml:space="preserve"> do akceptacji.</w:t>
      </w:r>
    </w:p>
    <w:p w14:paraId="65A8C846" w14:textId="77777777" w:rsidR="00A01967" w:rsidRPr="00DF062B" w:rsidRDefault="00A01967" w:rsidP="00A01967">
      <w:pPr>
        <w:pStyle w:val="SSTnag3"/>
      </w:pPr>
      <w:r w:rsidRPr="00DF062B">
        <w:t>Badania w czasie wykonywania robót</w:t>
      </w:r>
    </w:p>
    <w:p w14:paraId="171814DA" w14:textId="77777777" w:rsidR="00A01967" w:rsidRPr="00DF062B" w:rsidRDefault="00A01967" w:rsidP="00A01967">
      <w:pPr>
        <w:pStyle w:val="sstnag4"/>
        <w:rPr>
          <w:rFonts w:cstheme="minorHAnsi"/>
        </w:rPr>
      </w:pPr>
      <w:r w:rsidRPr="00DF062B">
        <w:rPr>
          <w:rFonts w:cstheme="minorHAnsi"/>
        </w:rPr>
        <w:t>Badania materiałów w czasie wykonywania robót</w:t>
      </w:r>
    </w:p>
    <w:p w14:paraId="11E4A67F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Wszystkie materiały dostarczone na budowę z zaświadczeniem o jakości (certyfikaty zgodności, deklaracje zgodności, aprobaty techniczne itp.) producenta powinny być sprawdzone w zakresie powierzchni wyrobu i jego wymiarów.</w:t>
      </w:r>
    </w:p>
    <w:p w14:paraId="0BD40B90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 przypadkach budzących wątpliwości można zlecić uprawnionej jednostce zbadanie właściwości dostarczonych wyrobów i materiałów w zakresie wymagań podanych w punkcie 2. </w:t>
      </w:r>
    </w:p>
    <w:p w14:paraId="60CC5A58" w14:textId="77777777" w:rsidR="00A01967" w:rsidRPr="00DF062B" w:rsidRDefault="00A01967" w:rsidP="00A01967">
      <w:pPr>
        <w:pStyle w:val="sstnag4"/>
        <w:rPr>
          <w:rFonts w:cstheme="minorHAnsi"/>
        </w:rPr>
      </w:pPr>
      <w:r w:rsidRPr="00DF062B">
        <w:rPr>
          <w:rFonts w:cstheme="minorHAnsi"/>
        </w:rPr>
        <w:t>Kontrola w czasie wykonywania robót</w:t>
      </w:r>
    </w:p>
    <w:p w14:paraId="1AB2C34E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 czasie wykonywania robót należy zbadać:</w:t>
      </w:r>
    </w:p>
    <w:p w14:paraId="56FB38F0" w14:textId="020854BE"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zgodność wykonania barier z </w:t>
      </w:r>
      <w:r w:rsidR="00CC7409">
        <w:rPr>
          <w:rFonts w:asciiTheme="minorHAnsi" w:hAnsiTheme="minorHAnsi" w:cstheme="minorHAnsi"/>
          <w:sz w:val="18"/>
          <w:szCs w:val="18"/>
          <w:lang w:val="pl-PL"/>
        </w:rPr>
        <w:t>S</w:t>
      </w:r>
      <w:r w:rsidR="00BF2701">
        <w:rPr>
          <w:rFonts w:asciiTheme="minorHAnsi" w:hAnsiTheme="minorHAnsi" w:cstheme="minorHAnsi"/>
          <w:sz w:val="18"/>
          <w:szCs w:val="18"/>
          <w:lang w:val="pl-PL"/>
        </w:rPr>
        <w:t>WZ</w:t>
      </w:r>
      <w:r w:rsidRPr="00DF062B">
        <w:rPr>
          <w:rFonts w:asciiTheme="minorHAnsi" w:hAnsiTheme="minorHAnsi" w:cstheme="minorHAnsi"/>
          <w:sz w:val="18"/>
          <w:szCs w:val="18"/>
        </w:rPr>
        <w:t xml:space="preserve"> (lokalizacja, wymiary, wysokość prowadnicy nad terenem),</w:t>
      </w:r>
    </w:p>
    <w:p w14:paraId="7EC43277" w14:textId="1F0315EE"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zachowanie dopuszczalnych odchyłek wymiarów, zgodnie z punktem 2 i katalogiem (informacją) producenta barier,</w:t>
      </w:r>
    </w:p>
    <w:p w14:paraId="47D0F2EB" w14:textId="77777777"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poprawność ustawienia słupków, zgodnie z punktem 5,</w:t>
      </w:r>
    </w:p>
    <w:p w14:paraId="36040C98" w14:textId="632E8F12"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prawidłowość montażu barier, zgodnie z punktem 5,</w:t>
      </w:r>
    </w:p>
    <w:p w14:paraId="5463FA49" w14:textId="77777777"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poprawność umieszczenia elementów odblaskowych, zgodnie z obowiązującymi przepisami.</w:t>
      </w:r>
    </w:p>
    <w:p w14:paraId="1A859EE9" w14:textId="77777777" w:rsidR="00A01967" w:rsidRPr="00DF062B" w:rsidRDefault="00A01967" w:rsidP="00A01967">
      <w:pPr>
        <w:pStyle w:val="sstnromalny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Kontrola montażu </w:t>
      </w:r>
    </w:p>
    <w:p w14:paraId="132E02B3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Należy przyjąć następujące dopuszczalne odchyłki montażu:</w:t>
      </w:r>
    </w:p>
    <w:p w14:paraId="672A4D64" w14:textId="77777777" w:rsidR="00A01967" w:rsidRPr="00DF062B" w:rsidRDefault="00A01967" w:rsidP="00A01967">
      <w:pPr>
        <w:pStyle w:val="sstnromalny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odchylenie słupka od pionu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F0B1"/>
      </w:r>
      <w:r w:rsidRPr="00DF062B">
        <w:rPr>
          <w:rFonts w:asciiTheme="minorHAnsi" w:hAnsiTheme="minorHAnsi" w:cstheme="minorHAnsi"/>
          <w:sz w:val="18"/>
          <w:szCs w:val="18"/>
        </w:rPr>
        <w:t xml:space="preserve"> 0,5%,</w:t>
      </w:r>
    </w:p>
    <w:p w14:paraId="5CE7D04A" w14:textId="77777777" w:rsidR="00A01967" w:rsidRPr="00DF062B" w:rsidRDefault="00A01967" w:rsidP="00A01967">
      <w:pPr>
        <w:pStyle w:val="sstnromalny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odchyłka w odległości ustawienia słupka od krawędzi jezdni </w:t>
      </w:r>
      <w:r w:rsidRPr="00DF062B">
        <w:rPr>
          <w:rFonts w:asciiTheme="minorHAnsi" w:hAnsiTheme="minorHAnsi" w:cstheme="minorHAnsi"/>
          <w:sz w:val="18"/>
          <w:szCs w:val="18"/>
        </w:rPr>
        <w:sym w:font="Symbol" w:char="F0B1"/>
      </w:r>
      <w:r w:rsidRPr="00DF062B">
        <w:rPr>
          <w:rFonts w:asciiTheme="minorHAnsi" w:hAnsiTheme="minorHAnsi" w:cstheme="minorHAnsi"/>
          <w:sz w:val="18"/>
          <w:szCs w:val="18"/>
        </w:rPr>
        <w:t xml:space="preserve"> 0,5 cm,</w:t>
      </w:r>
    </w:p>
    <w:p w14:paraId="3677927B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OBMIAR ROBÓT</w:t>
      </w:r>
    </w:p>
    <w:p w14:paraId="243B5C57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zasady obmiaru robót podano w STWiORB DM.00.00.00 „Wymagania ogólne” pkt 7.</w:t>
      </w:r>
    </w:p>
    <w:p w14:paraId="14523F6A" w14:textId="6F41C286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Jednostką obmiarową jest m (metr) wykonanej 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bariery </w:t>
      </w:r>
      <w:r w:rsidRPr="00DF062B">
        <w:rPr>
          <w:rFonts w:asciiTheme="minorHAnsi" w:hAnsiTheme="minorHAnsi" w:cstheme="minorHAnsi"/>
          <w:sz w:val="18"/>
          <w:szCs w:val="18"/>
        </w:rPr>
        <w:t>stalowej.</w:t>
      </w:r>
    </w:p>
    <w:p w14:paraId="325775C3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lastRenderedPageBreak/>
        <w:t>ODBIÓR ROBÓT</w:t>
      </w:r>
    </w:p>
    <w:p w14:paraId="604D92C7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zasady odbioru robót podano w STWiORB DM.00.00.00 „Wymagania ogólne” pkt 8.</w:t>
      </w:r>
    </w:p>
    <w:p w14:paraId="1B04CD70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Roboty uznaje się za wykonane zgodnie z </w:t>
      </w:r>
      <w:r w:rsidR="00CC7409">
        <w:rPr>
          <w:rFonts w:asciiTheme="minorHAnsi" w:hAnsiTheme="minorHAnsi" w:cstheme="minorHAnsi"/>
          <w:sz w:val="18"/>
          <w:szCs w:val="18"/>
          <w:lang w:val="pl-PL"/>
        </w:rPr>
        <w:t>S</w:t>
      </w:r>
      <w:r w:rsidR="002073DB">
        <w:rPr>
          <w:rFonts w:asciiTheme="minorHAnsi" w:hAnsiTheme="minorHAnsi" w:cstheme="minorHAnsi"/>
          <w:sz w:val="18"/>
          <w:szCs w:val="18"/>
          <w:lang w:val="pl-PL"/>
        </w:rPr>
        <w:t>WZ</w:t>
      </w:r>
      <w:r w:rsidRPr="00DF062B">
        <w:rPr>
          <w:rFonts w:asciiTheme="minorHAnsi" w:hAnsiTheme="minorHAnsi" w:cstheme="minorHAnsi"/>
          <w:sz w:val="18"/>
          <w:szCs w:val="18"/>
        </w:rPr>
        <w:t xml:space="preserve">, STWiORB i wymaganiami </w:t>
      </w:r>
      <w:r w:rsidR="00C8450D" w:rsidRPr="00C8450D">
        <w:rPr>
          <w:rFonts w:asciiTheme="minorHAnsi" w:hAnsiTheme="minorHAnsi" w:cstheme="minorHAnsi"/>
          <w:sz w:val="18"/>
          <w:szCs w:val="18"/>
          <w:lang w:val="pl-PL"/>
        </w:rPr>
        <w:t>Inwestora</w:t>
      </w:r>
      <w:r w:rsidRPr="00DF062B">
        <w:rPr>
          <w:rFonts w:asciiTheme="minorHAnsi" w:hAnsiTheme="minorHAnsi" w:cstheme="minorHAnsi"/>
          <w:sz w:val="18"/>
          <w:szCs w:val="18"/>
        </w:rPr>
        <w:t>, jeżeli wszystkie pomiary i badania z zachowaniem tolerancji wg pkt 6 dały wyniki pozytywne.</w:t>
      </w:r>
    </w:p>
    <w:p w14:paraId="2249FFCE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PODSTAWA PŁATNOŚCI</w:t>
      </w:r>
    </w:p>
    <w:p w14:paraId="0BE74B92" w14:textId="77777777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Ogólne ustalenia dotyczące podstawy płatności podano w STWiORB DM.00.00.00 „Wymagania ogólne” pkt 9.</w:t>
      </w:r>
    </w:p>
    <w:p w14:paraId="434AC953" w14:textId="3F4125F5" w:rsidR="00A01967" w:rsidRPr="00DF062B" w:rsidRDefault="00A01967" w:rsidP="00A01967">
      <w:pPr>
        <w:pStyle w:val="sstnromalny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Cena wykonania 1 m</w:t>
      </w:r>
      <w:r w:rsidRPr="00DF062B">
        <w:rPr>
          <w:rFonts w:asciiTheme="minorHAnsi" w:hAnsiTheme="minorHAnsi" w:cstheme="minorHAnsi"/>
          <w:sz w:val="18"/>
          <w:szCs w:val="18"/>
          <w:lang w:val="pl-PL"/>
        </w:rPr>
        <w:t xml:space="preserve"> bariery </w:t>
      </w:r>
      <w:r w:rsidRPr="00DF062B">
        <w:rPr>
          <w:rFonts w:asciiTheme="minorHAnsi" w:hAnsiTheme="minorHAnsi" w:cstheme="minorHAnsi"/>
          <w:sz w:val="18"/>
          <w:szCs w:val="18"/>
        </w:rPr>
        <w:t>stalowej obejmuje m.in.:</w:t>
      </w:r>
    </w:p>
    <w:p w14:paraId="271A5237" w14:textId="77777777"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prace pomiarowe i roboty przygotowawcze,</w:t>
      </w:r>
    </w:p>
    <w:p w14:paraId="37D0D263" w14:textId="77777777"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oznakowanie robót,</w:t>
      </w:r>
    </w:p>
    <w:p w14:paraId="6123E19A" w14:textId="77777777"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dostarczenie materiałów,</w:t>
      </w:r>
    </w:p>
    <w:p w14:paraId="3A8ADB21" w14:textId="77777777"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przeprowadzenie badań i pomiarów wymaganych w specyfikacji technicznej,</w:t>
      </w:r>
    </w:p>
    <w:p w14:paraId="7C0565C3" w14:textId="77777777" w:rsidR="00A01967" w:rsidRPr="00DF062B" w:rsidRDefault="00A01967" w:rsidP="00A01967">
      <w:pPr>
        <w:pStyle w:val="sstnromalny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uporządkowanie terenu.</w:t>
      </w:r>
    </w:p>
    <w:p w14:paraId="761DF5CE" w14:textId="77777777" w:rsidR="00A01967" w:rsidRPr="00DF062B" w:rsidRDefault="00A01967" w:rsidP="00A01967">
      <w:pPr>
        <w:pStyle w:val="StylSSTnagowek2Dolewej"/>
        <w:rPr>
          <w:rFonts w:cstheme="minorHAnsi"/>
        </w:rPr>
      </w:pPr>
      <w:r w:rsidRPr="00DF062B">
        <w:rPr>
          <w:rFonts w:cstheme="minorHAnsi"/>
        </w:rPr>
        <w:t>przepisy związane</w:t>
      </w:r>
    </w:p>
    <w:p w14:paraId="766BC55C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PN-EN 206-1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Beton. Część 1: Wymagania, właściwości, produkcja i zgodność </w:t>
      </w:r>
    </w:p>
    <w:p w14:paraId="1F7F5F6C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PN-EN 480-11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Domieszki do betonu, zaprawy i zaczynu. Metody badań. Oznaczanie charakterystyki porów powietrznych w stwardniałym betonie </w:t>
      </w:r>
    </w:p>
    <w:p w14:paraId="747C7598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PN-EN 934-2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Domieszki  do  betonu,  zaprawy  i  zaczynu.  Domieszki  do  betonu. Definicje i wymagania </w:t>
      </w:r>
    </w:p>
    <w:p w14:paraId="65B82D5F" w14:textId="77777777" w:rsidR="00A01967" w:rsidRPr="00DF062B" w:rsidRDefault="00A01967" w:rsidP="00A01967">
      <w:pPr>
        <w:pStyle w:val="sstnromalny"/>
        <w:ind w:firstLine="0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PN-EN 12620</w:t>
      </w:r>
      <w:r w:rsidRPr="00DF062B">
        <w:rPr>
          <w:rFonts w:asciiTheme="minorHAnsi" w:hAnsiTheme="minorHAnsi" w:cstheme="minorHAnsi"/>
          <w:sz w:val="18"/>
          <w:szCs w:val="18"/>
        </w:rPr>
        <w:tab/>
      </w:r>
      <w:r w:rsidRPr="00DF062B">
        <w:rPr>
          <w:rFonts w:asciiTheme="minorHAnsi" w:hAnsiTheme="minorHAnsi" w:cstheme="minorHAnsi"/>
          <w:sz w:val="18"/>
          <w:szCs w:val="18"/>
        </w:rPr>
        <w:tab/>
        <w:t>Kruszywa do betonu</w:t>
      </w:r>
    </w:p>
    <w:p w14:paraId="65B177BE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PN-EN 1008</w:t>
      </w:r>
      <w:r w:rsidRPr="00DF062B">
        <w:rPr>
          <w:rFonts w:asciiTheme="minorHAnsi" w:hAnsiTheme="minorHAnsi" w:cstheme="minorHAnsi"/>
          <w:sz w:val="18"/>
          <w:szCs w:val="18"/>
        </w:rPr>
        <w:tab/>
        <w:t>Woda zarobowa do betonu -- Specyfikacja pobierania próbek, badanie i ocena przydatności wody zarobowej do betonu, w tym wody odzyskanej z procesów produkcji betonu</w:t>
      </w:r>
    </w:p>
    <w:p w14:paraId="644B92E1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PN-EN 197-1</w:t>
      </w:r>
      <w:r w:rsidRPr="00DF062B">
        <w:rPr>
          <w:rFonts w:asciiTheme="minorHAnsi" w:hAnsiTheme="minorHAnsi" w:cstheme="minorHAnsi"/>
          <w:sz w:val="18"/>
          <w:szCs w:val="18"/>
        </w:rPr>
        <w:tab/>
        <w:t xml:space="preserve"> Cement Część 1: Skład, wymagania i kryteria zgodności dotyczące cementów powszechnego użytku</w:t>
      </w:r>
    </w:p>
    <w:p w14:paraId="424EC04B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 xml:space="preserve">PN EN 1317-1 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1: Terminologia i ogólne kryteria metod badań</w:t>
      </w:r>
    </w:p>
    <w:p w14:paraId="6233CF11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 EN 1317-2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2: Klasy działania, kryteria przyjęcia badań zderzeniowych i metody badań barier ochronnych i balustrad</w:t>
      </w:r>
    </w:p>
    <w:p w14:paraId="789BA680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 EN 1317-3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3: Klasy działania, kryteria przyjęcia badań zderzeniowych i metody badań poduszek zderzeniowych</w:t>
      </w:r>
    </w:p>
    <w:p w14:paraId="064F68DA" w14:textId="77777777" w:rsidR="00A01967" w:rsidRPr="00DF062B" w:rsidRDefault="00A01967" w:rsidP="00A01967">
      <w:pPr>
        <w:pStyle w:val="sstnromalny"/>
        <w:ind w:left="2126" w:hanging="2126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PN EN 1317-5</w:t>
      </w:r>
      <w:r w:rsidRPr="00DF062B">
        <w:rPr>
          <w:rFonts w:asciiTheme="minorHAnsi" w:hAnsiTheme="minorHAnsi" w:cstheme="minorHAnsi"/>
          <w:sz w:val="18"/>
          <w:szCs w:val="18"/>
        </w:rPr>
        <w:tab/>
        <w:t>Systemy ograniczające drogę -- Część 5: Wymagania w odniesieniu do wyrobów i ocena zgodności dotycząca systemów powstrzymujących pojazd</w:t>
      </w:r>
    </w:p>
    <w:p w14:paraId="2F76197C" w14:textId="77777777" w:rsidR="00A01967" w:rsidRPr="00DF062B" w:rsidRDefault="00A01967" w:rsidP="00A01967">
      <w:pPr>
        <w:pStyle w:val="sstnromalny"/>
        <w:ind w:firstLine="0"/>
        <w:rPr>
          <w:rFonts w:asciiTheme="minorHAnsi" w:hAnsiTheme="minorHAnsi" w:cstheme="minorHAnsi"/>
          <w:sz w:val="18"/>
          <w:szCs w:val="18"/>
        </w:rPr>
      </w:pPr>
      <w:r w:rsidRPr="00DF062B">
        <w:rPr>
          <w:rFonts w:asciiTheme="minorHAnsi" w:hAnsiTheme="minorHAnsi" w:cstheme="minorHAnsi"/>
          <w:sz w:val="18"/>
          <w:szCs w:val="18"/>
        </w:rPr>
        <w:t>Wytyczne stosowania drogowych barier ochronnych na drogach krajowych. GDDKIA, kwiecień 2010. </w:t>
      </w:r>
    </w:p>
    <w:sectPr w:rsidR="00A01967" w:rsidRPr="00DF06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71E9" w14:textId="77777777" w:rsidR="00EA5F4B" w:rsidRDefault="00EA5F4B" w:rsidP="00DC2426">
      <w:r>
        <w:separator/>
      </w:r>
    </w:p>
  </w:endnote>
  <w:endnote w:type="continuationSeparator" w:id="0">
    <w:p w14:paraId="5CA0A16D" w14:textId="77777777" w:rsidR="00EA5F4B" w:rsidRDefault="00EA5F4B" w:rsidP="00DC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950419"/>
      <w:docPartObj>
        <w:docPartGallery w:val="Page Numbers (Bottom of Page)"/>
        <w:docPartUnique/>
      </w:docPartObj>
    </w:sdtPr>
    <w:sdtContent>
      <w:p w14:paraId="71A41A3F" w14:textId="77777777" w:rsidR="00DC2426" w:rsidRDefault="00DC24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5CC">
          <w:rPr>
            <w:noProof/>
          </w:rPr>
          <w:t>3</w:t>
        </w:r>
        <w:r>
          <w:fldChar w:fldCharType="end"/>
        </w:r>
      </w:p>
    </w:sdtContent>
  </w:sdt>
  <w:p w14:paraId="3F8FD022" w14:textId="77777777" w:rsidR="00DC2426" w:rsidRDefault="00DC2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D65E" w14:textId="77777777" w:rsidR="00EA5F4B" w:rsidRDefault="00EA5F4B" w:rsidP="00DC2426">
      <w:r>
        <w:separator/>
      </w:r>
    </w:p>
  </w:footnote>
  <w:footnote w:type="continuationSeparator" w:id="0">
    <w:p w14:paraId="2C35A0E3" w14:textId="77777777" w:rsidR="00EA5F4B" w:rsidRDefault="00EA5F4B" w:rsidP="00DC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D3E"/>
    <w:multiLevelType w:val="hybridMultilevel"/>
    <w:tmpl w:val="74D0CB6E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30E"/>
    <w:multiLevelType w:val="hybridMultilevel"/>
    <w:tmpl w:val="4E988F9C"/>
    <w:lvl w:ilvl="0" w:tplc="987E997C">
      <w:start w:val="1"/>
      <w:numFmt w:val="bullet"/>
      <w:lvlText w:val=""/>
      <w:lvlJc w:val="left"/>
      <w:pPr>
        <w:tabs>
          <w:tab w:val="num" w:pos="1068"/>
        </w:tabs>
        <w:ind w:left="1406" w:hanging="338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EC62F5"/>
    <w:multiLevelType w:val="hybridMultilevel"/>
    <w:tmpl w:val="45B0CD58"/>
    <w:lvl w:ilvl="0" w:tplc="04150003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201B6A1F"/>
    <w:multiLevelType w:val="hybridMultilevel"/>
    <w:tmpl w:val="150E3E66"/>
    <w:lvl w:ilvl="0" w:tplc="F4BC8016">
      <w:start w:val="1"/>
      <w:numFmt w:val="bullet"/>
      <w:lvlText w:val="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1" w:tplc="DF6A7B38">
      <w:start w:val="1"/>
      <w:numFmt w:val="lowerLetter"/>
      <w:lvlText w:val="%2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61A4"/>
    <w:multiLevelType w:val="hybridMultilevel"/>
    <w:tmpl w:val="2294FAE8"/>
    <w:lvl w:ilvl="0" w:tplc="0B761AF2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317C"/>
    <w:multiLevelType w:val="hybridMultilevel"/>
    <w:tmpl w:val="3AE84DD0"/>
    <w:lvl w:ilvl="0" w:tplc="0B761AF2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33B01F55"/>
    <w:multiLevelType w:val="hybridMultilevel"/>
    <w:tmpl w:val="7B667106"/>
    <w:lvl w:ilvl="0" w:tplc="403824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4363"/>
    <w:multiLevelType w:val="hybridMultilevel"/>
    <w:tmpl w:val="E9D09636"/>
    <w:lvl w:ilvl="0" w:tplc="FFFFFFFF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3BEA5183"/>
    <w:multiLevelType w:val="hybridMultilevel"/>
    <w:tmpl w:val="C5922808"/>
    <w:lvl w:ilvl="0" w:tplc="FFFFFFFF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3DA76F21"/>
    <w:multiLevelType w:val="multilevel"/>
    <w:tmpl w:val="3E42C682"/>
    <w:lvl w:ilvl="0">
      <w:start w:val="1"/>
      <w:numFmt w:val="decimal"/>
      <w:pStyle w:val="SSTnag1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STnagowek2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STnagwek3"/>
      <w:suff w:val="space"/>
      <w:lvlText w:val="%2.%3."/>
      <w:lvlJc w:val="left"/>
      <w:pPr>
        <w:ind w:left="-567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stnag4"/>
      <w:suff w:val="space"/>
      <w:lvlText w:val="%2.%3.%4"/>
      <w:lvlJc w:val="left"/>
      <w:pPr>
        <w:ind w:left="785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1"/>
      <w:suff w:val="space"/>
      <w:lvlText w:val="%7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11C1FC7"/>
    <w:multiLevelType w:val="hybridMultilevel"/>
    <w:tmpl w:val="79F29732"/>
    <w:lvl w:ilvl="0" w:tplc="D35AB624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50EC3E64"/>
    <w:multiLevelType w:val="hybridMultilevel"/>
    <w:tmpl w:val="7ED893E8"/>
    <w:lvl w:ilvl="0" w:tplc="04150001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19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5CA32313"/>
    <w:multiLevelType w:val="hybridMultilevel"/>
    <w:tmpl w:val="9DDECBA0"/>
    <w:lvl w:ilvl="0" w:tplc="0B40E93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D2971"/>
    <w:multiLevelType w:val="hybridMultilevel"/>
    <w:tmpl w:val="00F2A370"/>
    <w:lvl w:ilvl="0" w:tplc="7096CAC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D1814"/>
    <w:multiLevelType w:val="hybridMultilevel"/>
    <w:tmpl w:val="B81C7D20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4CF8"/>
    <w:multiLevelType w:val="hybridMultilevel"/>
    <w:tmpl w:val="FDA2F76E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0C42"/>
    <w:multiLevelType w:val="hybridMultilevel"/>
    <w:tmpl w:val="FA4AA368"/>
    <w:lvl w:ilvl="0" w:tplc="D35AB624">
      <w:start w:val="1"/>
      <w:numFmt w:val="bullet"/>
      <w:lvlText w:val="–"/>
      <w:lvlJc w:val="left"/>
      <w:pPr>
        <w:ind w:left="729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694334632">
    <w:abstractNumId w:val="9"/>
  </w:num>
  <w:num w:numId="2" w16cid:durableId="700514886">
    <w:abstractNumId w:val="1"/>
  </w:num>
  <w:num w:numId="3" w16cid:durableId="559487244">
    <w:abstractNumId w:val="5"/>
  </w:num>
  <w:num w:numId="4" w16cid:durableId="751313031">
    <w:abstractNumId w:val="2"/>
  </w:num>
  <w:num w:numId="5" w16cid:durableId="404185711">
    <w:abstractNumId w:val="0"/>
  </w:num>
  <w:num w:numId="6" w16cid:durableId="1003969072">
    <w:abstractNumId w:val="10"/>
  </w:num>
  <w:num w:numId="7" w16cid:durableId="358120940">
    <w:abstractNumId w:val="11"/>
  </w:num>
  <w:num w:numId="8" w16cid:durableId="687214549">
    <w:abstractNumId w:val="8"/>
  </w:num>
  <w:num w:numId="9" w16cid:durableId="1207449095">
    <w:abstractNumId w:val="7"/>
  </w:num>
  <w:num w:numId="10" w16cid:durableId="1762140406">
    <w:abstractNumId w:val="6"/>
  </w:num>
  <w:num w:numId="11" w16cid:durableId="645477510">
    <w:abstractNumId w:val="16"/>
  </w:num>
  <w:num w:numId="12" w16cid:durableId="1392458580">
    <w:abstractNumId w:val="12"/>
  </w:num>
  <w:num w:numId="13" w16cid:durableId="1113132434">
    <w:abstractNumId w:val="4"/>
  </w:num>
  <w:num w:numId="14" w16cid:durableId="1340498812">
    <w:abstractNumId w:val="3"/>
  </w:num>
  <w:num w:numId="15" w16cid:durableId="1884441254">
    <w:abstractNumId w:val="13"/>
  </w:num>
  <w:num w:numId="16" w16cid:durableId="1618833556">
    <w:abstractNumId w:val="15"/>
  </w:num>
  <w:num w:numId="17" w16cid:durableId="1893424483">
    <w:abstractNumId w:val="14"/>
  </w:num>
  <w:num w:numId="18" w16cid:durableId="55096386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67"/>
    <w:rsid w:val="00064475"/>
    <w:rsid w:val="00136AC6"/>
    <w:rsid w:val="001470F8"/>
    <w:rsid w:val="001531D4"/>
    <w:rsid w:val="00160B48"/>
    <w:rsid w:val="001C322C"/>
    <w:rsid w:val="00207254"/>
    <w:rsid w:val="002073DB"/>
    <w:rsid w:val="00212F1D"/>
    <w:rsid w:val="00274D90"/>
    <w:rsid w:val="002968C1"/>
    <w:rsid w:val="002A7179"/>
    <w:rsid w:val="003861F8"/>
    <w:rsid w:val="00426A48"/>
    <w:rsid w:val="004B108F"/>
    <w:rsid w:val="004B7763"/>
    <w:rsid w:val="005A460D"/>
    <w:rsid w:val="00674471"/>
    <w:rsid w:val="006E65CC"/>
    <w:rsid w:val="00712B04"/>
    <w:rsid w:val="008A0348"/>
    <w:rsid w:val="008E1787"/>
    <w:rsid w:val="00937A4D"/>
    <w:rsid w:val="0099056E"/>
    <w:rsid w:val="009937BD"/>
    <w:rsid w:val="009F3E30"/>
    <w:rsid w:val="00A01967"/>
    <w:rsid w:val="00A0428D"/>
    <w:rsid w:val="00A4064B"/>
    <w:rsid w:val="00AF6D9B"/>
    <w:rsid w:val="00B104CA"/>
    <w:rsid w:val="00B2477F"/>
    <w:rsid w:val="00B50DF3"/>
    <w:rsid w:val="00BF2701"/>
    <w:rsid w:val="00C8450D"/>
    <w:rsid w:val="00CB0B74"/>
    <w:rsid w:val="00CC7409"/>
    <w:rsid w:val="00CE739A"/>
    <w:rsid w:val="00D754A2"/>
    <w:rsid w:val="00DC2426"/>
    <w:rsid w:val="00E155AE"/>
    <w:rsid w:val="00EA5F4B"/>
    <w:rsid w:val="00ED0185"/>
    <w:rsid w:val="00ED6FE1"/>
    <w:rsid w:val="00F04E48"/>
    <w:rsid w:val="00F518E0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BD86"/>
  <w15:docId w15:val="{5099CDA4-5F4C-49FD-8966-01C35FE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67"/>
    <w:pPr>
      <w:spacing w:after="0" w:line="240" w:lineRule="auto"/>
      <w:ind w:firstLine="357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01967"/>
    <w:pPr>
      <w:jc w:val="both"/>
    </w:pPr>
    <w:rPr>
      <w:rFonts w:ascii="Times New Roman PL" w:hAnsi="Times New Roman P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1967"/>
    <w:rPr>
      <w:rFonts w:ascii="Times New Roman PL" w:hAnsi="Times New Roman PL" w:cs="Times New Roman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19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1967"/>
    <w:rPr>
      <w:rFonts w:ascii="Calibri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19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1967"/>
    <w:rPr>
      <w:rFonts w:ascii="Calibri" w:hAnsi="Calibri" w:cs="Times New Roman"/>
      <w:sz w:val="16"/>
      <w:szCs w:val="16"/>
    </w:rPr>
  </w:style>
  <w:style w:type="paragraph" w:customStyle="1" w:styleId="SSTnag1">
    <w:name w:val="SST nagł 1"/>
    <w:basedOn w:val="Nagwek1"/>
    <w:link w:val="SSTnag1Znak"/>
    <w:autoRedefine/>
    <w:rsid w:val="00C8450D"/>
    <w:pPr>
      <w:keepNext w:val="0"/>
      <w:keepLines w:val="0"/>
      <w:numPr>
        <w:numId w:val="1"/>
      </w:numPr>
      <w:tabs>
        <w:tab w:val="left" w:pos="1701"/>
      </w:tabs>
      <w:suppressAutoHyphens/>
      <w:spacing w:before="240" w:after="60"/>
      <w:jc w:val="both"/>
    </w:pPr>
    <w:rPr>
      <w:rFonts w:asciiTheme="minorHAnsi" w:eastAsia="Times New Roman" w:hAnsiTheme="minorHAnsi" w:cs="Times New Roman"/>
      <w:caps/>
      <w:noProof/>
      <w:color w:val="auto"/>
      <w:kern w:val="28"/>
      <w:sz w:val="22"/>
      <w:szCs w:val="22"/>
      <w:lang w:eastAsia="x-none"/>
    </w:rPr>
  </w:style>
  <w:style w:type="paragraph" w:customStyle="1" w:styleId="SSTnagowek2">
    <w:name w:val="SST nagłowek 2"/>
    <w:basedOn w:val="Normalny"/>
    <w:link w:val="SSTnagowek2ZnakZnak"/>
    <w:autoRedefine/>
    <w:qFormat/>
    <w:rsid w:val="00A01967"/>
    <w:pPr>
      <w:keepNext/>
      <w:numPr>
        <w:ilvl w:val="1"/>
        <w:numId w:val="1"/>
      </w:numPr>
      <w:spacing w:before="240" w:after="60"/>
      <w:outlineLvl w:val="1"/>
    </w:pPr>
    <w:rPr>
      <w:rFonts w:asciiTheme="minorHAnsi" w:eastAsia="Times New Roman" w:hAnsiTheme="minorHAnsi"/>
      <w:b/>
      <w:caps/>
      <w:sz w:val="18"/>
      <w:szCs w:val="18"/>
      <w:lang w:val="x-none" w:eastAsia="x-none"/>
    </w:rPr>
  </w:style>
  <w:style w:type="paragraph" w:customStyle="1" w:styleId="SSTnag3">
    <w:name w:val="SST nagł 3"/>
    <w:basedOn w:val="SSTnagowek2"/>
    <w:link w:val="SSTnag3ZnakZnak"/>
    <w:autoRedefine/>
    <w:rsid w:val="00A01967"/>
    <w:pPr>
      <w:keepNext w:val="0"/>
      <w:numPr>
        <w:ilvl w:val="0"/>
        <w:numId w:val="0"/>
      </w:numPr>
      <w:spacing w:before="60"/>
      <w:jc w:val="both"/>
      <w:outlineLvl w:val="9"/>
    </w:pPr>
    <w:rPr>
      <w:rFonts w:cs="Arial"/>
      <w:caps w:val="0"/>
    </w:rPr>
  </w:style>
  <w:style w:type="character" w:customStyle="1" w:styleId="SSTnag1Znak">
    <w:name w:val="SST nagł 1 Znak"/>
    <w:link w:val="SSTnag1"/>
    <w:rsid w:val="00C8450D"/>
    <w:rPr>
      <w:rFonts w:eastAsia="Times New Roman" w:cs="Times New Roman"/>
      <w:b/>
      <w:bCs/>
      <w:caps/>
      <w:noProof/>
      <w:kern w:val="28"/>
      <w:lang w:eastAsia="x-none"/>
    </w:rPr>
  </w:style>
  <w:style w:type="character" w:customStyle="1" w:styleId="SSTnagowek2ZnakZnak">
    <w:name w:val="SST nagłowek 2 Znak Znak"/>
    <w:link w:val="SSTnagowek2"/>
    <w:rsid w:val="00A01967"/>
    <w:rPr>
      <w:rFonts w:eastAsia="Times New Roman" w:cs="Times New Roman"/>
      <w:b/>
      <w:caps/>
      <w:sz w:val="18"/>
      <w:szCs w:val="18"/>
      <w:lang w:val="x-none" w:eastAsia="x-none"/>
    </w:rPr>
  </w:style>
  <w:style w:type="character" w:customStyle="1" w:styleId="SSTnag3ZnakZnak">
    <w:name w:val="SST nagł 3 Znak Znak"/>
    <w:link w:val="SSTnag3"/>
    <w:rsid w:val="00A01967"/>
    <w:rPr>
      <w:rFonts w:eastAsia="Times New Roman" w:cs="Arial"/>
      <w:b/>
      <w:sz w:val="18"/>
      <w:szCs w:val="18"/>
      <w:lang w:val="x-none" w:eastAsia="x-none"/>
    </w:rPr>
  </w:style>
  <w:style w:type="paragraph" w:customStyle="1" w:styleId="sstnromalny">
    <w:name w:val="sst nromalny"/>
    <w:basedOn w:val="Normalny"/>
    <w:link w:val="sstnromalnyZnak"/>
    <w:rsid w:val="00A01967"/>
    <w:pPr>
      <w:keepLines/>
      <w:ind w:firstLine="709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sstnromalnyZnak">
    <w:name w:val="sst nromalny Znak"/>
    <w:link w:val="sstnromalny"/>
    <w:rsid w:val="00A019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sstnag4">
    <w:name w:val="sst nagł4"/>
    <w:basedOn w:val="sstnromalny"/>
    <w:rsid w:val="00A01967"/>
    <w:pPr>
      <w:keepLines w:val="0"/>
      <w:numPr>
        <w:ilvl w:val="3"/>
        <w:numId w:val="1"/>
      </w:numPr>
      <w:spacing w:before="60" w:after="60"/>
      <w:outlineLvl w:val="3"/>
    </w:pPr>
    <w:rPr>
      <w:rFonts w:asciiTheme="minorHAnsi" w:hAnsiTheme="minorHAnsi"/>
      <w:b/>
      <w:sz w:val="18"/>
      <w:szCs w:val="18"/>
    </w:rPr>
  </w:style>
  <w:style w:type="paragraph" w:customStyle="1" w:styleId="StylSSTnagowek2Dolewej">
    <w:name w:val="Styl SST nagłowek 2 + Do lewej"/>
    <w:basedOn w:val="SSTnagowek2"/>
    <w:rsid w:val="00A01967"/>
    <w:rPr>
      <w:bCs/>
    </w:rPr>
  </w:style>
  <w:style w:type="paragraph" w:customStyle="1" w:styleId="SSTnagwek3">
    <w:name w:val="SST nagłówek 3"/>
    <w:basedOn w:val="Normalny"/>
    <w:qFormat/>
    <w:rsid w:val="00A01967"/>
    <w:pPr>
      <w:numPr>
        <w:ilvl w:val="2"/>
        <w:numId w:val="1"/>
      </w:numPr>
      <w:spacing w:before="60" w:after="60"/>
    </w:pPr>
    <w:rPr>
      <w:rFonts w:asciiTheme="minorHAnsi" w:eastAsia="Calibri" w:hAnsiTheme="minorHAnsi"/>
      <w:b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0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2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2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Rad Aug</cp:lastModifiedBy>
  <cp:revision>7</cp:revision>
  <dcterms:created xsi:type="dcterms:W3CDTF">2018-05-16T11:12:00Z</dcterms:created>
  <dcterms:modified xsi:type="dcterms:W3CDTF">2024-08-02T06:30:00Z</dcterms:modified>
</cp:coreProperties>
</file>