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92" w:rsidRDefault="00420F92" w:rsidP="00581A47">
      <w:pPr>
        <w:jc w:val="center"/>
        <w:rPr>
          <w:b/>
          <w:sz w:val="22"/>
        </w:rPr>
      </w:pPr>
    </w:p>
    <w:p w:rsidR="00420F92" w:rsidRDefault="00420F92" w:rsidP="00581A47">
      <w:pPr>
        <w:jc w:val="center"/>
        <w:rPr>
          <w:b/>
          <w:sz w:val="22"/>
        </w:rPr>
      </w:pPr>
      <w:r>
        <w:rPr>
          <w:noProof/>
        </w:rPr>
        <w:t xml:space="preserve">  </w:t>
      </w:r>
      <w:r w:rsidR="00502656">
        <w:rPr>
          <w:noProof/>
        </w:rPr>
        <w:drawing>
          <wp:inline distT="0" distB="0" distL="0" distR="0">
            <wp:extent cx="5677535" cy="540385"/>
            <wp:effectExtent l="0" t="0" r="0" b="0"/>
            <wp:docPr id="1" name="Obraz 1" descr="cid:image001.jpg@01D3AC9A.B04AC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C9A.B04ACE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92" w:rsidRDefault="00420F92" w:rsidP="00420F92">
      <w:pPr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420F92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ZP.272.1.22.2023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420F92" w:rsidP="00420F92">
      <w:pPr>
        <w:pStyle w:val="Tekstpodstawowy"/>
        <w:spacing w:line="276" w:lineRule="auto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3E6F11">
        <w:rPr>
          <w:b w:val="0"/>
          <w:sz w:val="22"/>
          <w:szCs w:val="22"/>
        </w:rPr>
        <w:t>(</w:t>
      </w:r>
      <w:r w:rsidR="003E6F11" w:rsidRPr="00C74546">
        <w:rPr>
          <w:b w:val="0"/>
          <w:sz w:val="22"/>
          <w:szCs w:val="22"/>
        </w:rPr>
        <w:t>art. 132 ustawy z dnia 11 września 2019 r. Prawo zamówień publicznych</w:t>
      </w:r>
      <w:r w:rsidR="003E6F11"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420F92" w:rsidRDefault="00420F92" w:rsidP="00420F92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monitorów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0B60F9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 xml:space="preserve">WZ WRAZ Z ZAŁĄCZNIKAMI                                     </w:t>
      </w:r>
      <w:r w:rsidR="00420F92">
        <w:rPr>
          <w:sz w:val="22"/>
        </w:rPr>
        <w:t xml:space="preserve">    </w:t>
      </w:r>
      <w:r w:rsidR="00581A47" w:rsidRPr="00C74546">
        <w:rPr>
          <w:sz w:val="22"/>
        </w:rPr>
        <w:t>ZATWIERDZAM</w:t>
      </w:r>
    </w:p>
    <w:p w:rsidR="00420F92" w:rsidRDefault="00420F92" w:rsidP="00581A47">
      <w:pPr>
        <w:rPr>
          <w:sz w:val="22"/>
        </w:rPr>
      </w:pPr>
    </w:p>
    <w:p w:rsidR="00420F92" w:rsidRDefault="00420F92" w:rsidP="00581A47">
      <w:pPr>
        <w:rPr>
          <w:sz w:val="22"/>
        </w:rPr>
      </w:pPr>
    </w:p>
    <w:p w:rsidR="00581A47" w:rsidRPr="00C74546" w:rsidRDefault="00420F92" w:rsidP="00581A47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</w:t>
      </w:r>
      <w:r>
        <w:rPr>
          <w:sz w:val="22"/>
        </w:rPr>
        <w:t xml:space="preserve">                         Data: </w:t>
      </w:r>
      <w:r w:rsidR="00581A47" w:rsidRPr="00C74546">
        <w:rPr>
          <w:sz w:val="22"/>
        </w:rPr>
        <w:t>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420F92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2023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420F92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>
        <w:rPr>
          <w:sz w:val="22"/>
          <w:szCs w:val="22"/>
        </w:rPr>
        <w:t>Zamawiający</w:t>
      </w:r>
      <w:r w:rsidR="007E2A4E" w:rsidRPr="00C74546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 w:rsidR="007E2A4E"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420F92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</w:t>
      </w:r>
      <w:r w:rsidR="007E2A4E" w:rsidRPr="00C74546">
        <w:rPr>
          <w:sz w:val="22"/>
          <w:szCs w:val="22"/>
        </w:rPr>
        <w:t xml:space="preserve">:              </w:t>
      </w:r>
      <w:r>
        <w:rPr>
          <w:sz w:val="22"/>
          <w:szCs w:val="22"/>
        </w:rPr>
        <w:t xml:space="preserve"> </w:t>
      </w:r>
      <w:r w:rsidR="00836014">
        <w:rPr>
          <w:sz w:val="22"/>
          <w:szCs w:val="22"/>
        </w:rPr>
        <w:t xml:space="preserve">ul. Emilii Plater 1, </w:t>
      </w:r>
      <w:r w:rsidR="007E2A4E" w:rsidRPr="00C74546">
        <w:rPr>
          <w:sz w:val="22"/>
          <w:szCs w:val="22"/>
        </w:rPr>
        <w:t>10-562 Olsztyn</w:t>
      </w:r>
    </w:p>
    <w:p w:rsidR="007E2A4E" w:rsidRPr="00C74546" w:rsidRDefault="00420F92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Nr telefonu</w:t>
      </w:r>
      <w:r w:rsidR="007E2A4E" w:rsidRPr="00C74546">
        <w:rPr>
          <w:sz w:val="22"/>
          <w:szCs w:val="22"/>
        </w:rPr>
        <w:t>:      + 48 89 521 98 40</w:t>
      </w:r>
    </w:p>
    <w:p w:rsidR="007E2A4E" w:rsidRPr="00C74546" w:rsidRDefault="00420F92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poczty elektronicznej</w:t>
      </w:r>
      <w:r w:rsidR="007E2A4E" w:rsidRPr="00C74546">
        <w:rPr>
          <w:sz w:val="22"/>
          <w:szCs w:val="22"/>
        </w:rPr>
        <w:t xml:space="preserve">: </w:t>
      </w:r>
      <w:hyperlink r:id="rId9" w:history="1">
        <w:r w:rsidR="007E2A4E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="00420F92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 </w:t>
      </w:r>
    </w:p>
    <w:p w:rsidR="007E2A4E" w:rsidRPr="00C74546" w:rsidRDefault="002E7F8C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420F92">
        <w:rPr>
          <w:b/>
          <w:bCs/>
          <w:sz w:val="22"/>
        </w:rPr>
        <w:t>ZP.272.1.22</w:t>
      </w:r>
      <w:r>
        <w:rPr>
          <w:b/>
          <w:bCs/>
          <w:sz w:val="22"/>
        </w:rPr>
        <w:t>.202</w:t>
      </w:r>
      <w:r w:rsidR="00420F92">
        <w:rPr>
          <w:b/>
          <w:bCs/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ADRES STRONY INTERNETOWEJ, NA KTÓREJ UDOSTĘPNIANE BĘDĄ </w:t>
      </w:r>
      <w:r w:rsidR="0082624F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>ZMIANY I WYJAŚNIENIA TREŚCI SWZ ORAZ INNE DOKUMENTY ZAMÓWIENIA BEZPOŚREDNIO ZWIĄZANE Z POSTĘP</w:t>
      </w:r>
      <w:r w:rsidR="000F44A4">
        <w:rPr>
          <w:b/>
          <w:color w:val="000000"/>
          <w:sz w:val="22"/>
        </w:rPr>
        <w:t xml:space="preserve">OWANIEM </w:t>
      </w:r>
      <w:r w:rsidR="0082624F">
        <w:rPr>
          <w:b/>
          <w:color w:val="000000"/>
          <w:sz w:val="22"/>
        </w:rPr>
        <w:br/>
      </w:r>
      <w:r w:rsidR="000F44A4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420F92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 xml:space="preserve">Adres strony internetowej: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420F92" w:rsidP="00420F92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Przetarg nieograniczony – </w:t>
      </w:r>
      <w:r w:rsidR="00B56553" w:rsidRPr="00C74546">
        <w:rPr>
          <w:b w:val="0"/>
          <w:sz w:val="22"/>
          <w:szCs w:val="22"/>
        </w:rPr>
        <w:t xml:space="preserve">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="00B56553" w:rsidRPr="00C74546">
        <w:rPr>
          <w:b w:val="0"/>
          <w:sz w:val="22"/>
          <w:szCs w:val="22"/>
        </w:rPr>
        <w:t xml:space="preserve">zwanej dalej ustawą </w:t>
      </w:r>
      <w:proofErr w:type="spellStart"/>
      <w:r w:rsidR="00B56553" w:rsidRPr="00C74546">
        <w:rPr>
          <w:b w:val="0"/>
          <w:sz w:val="22"/>
          <w:szCs w:val="22"/>
        </w:rPr>
        <w:t>Pzp</w:t>
      </w:r>
      <w:proofErr w:type="spellEnd"/>
      <w:r w:rsidR="00B56553" w:rsidRPr="00C74546">
        <w:rPr>
          <w:b w:val="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001F1" w:rsidRPr="00812F48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420F92">
        <w:rPr>
          <w:b w:val="0"/>
          <w:snapToGrid w:val="0"/>
          <w:sz w:val="22"/>
          <w:szCs w:val="22"/>
        </w:rPr>
        <w:t>jest dostawa monitorów na potrzeby Urzędu Marszałkowskiego Wo</w:t>
      </w:r>
      <w:r w:rsidR="00ED0DF5">
        <w:rPr>
          <w:b w:val="0"/>
          <w:snapToGrid w:val="0"/>
          <w:sz w:val="22"/>
          <w:szCs w:val="22"/>
        </w:rPr>
        <w:t xml:space="preserve">jewództwa Warmińsko-Mazurskiego. </w:t>
      </w:r>
    </w:p>
    <w:p w:rsidR="009001F1" w:rsidRPr="00FE7087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</w:t>
      </w:r>
      <w:r w:rsidR="00236539">
        <w:rPr>
          <w:b w:val="0"/>
          <w:snapToGrid w:val="0"/>
          <w:sz w:val="22"/>
          <w:szCs w:val="22"/>
        </w:rPr>
        <w:t xml:space="preserve">ienia stanowi załącznik nr 2 do SWZ. </w:t>
      </w:r>
      <w:r w:rsidRPr="00812F48">
        <w:rPr>
          <w:b w:val="0"/>
          <w:snapToGrid w:val="0"/>
          <w:sz w:val="22"/>
          <w:szCs w:val="22"/>
        </w:rPr>
        <w:t xml:space="preserve"> </w:t>
      </w:r>
    </w:p>
    <w:p w:rsidR="009001F1" w:rsidRPr="00236539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236539">
        <w:rPr>
          <w:b w:val="0"/>
          <w:sz w:val="22"/>
          <w:szCs w:val="22"/>
        </w:rPr>
        <w:t xml:space="preserve">Zamawiający nie dopuszcza składania ofert częściowych. </w:t>
      </w:r>
    </w:p>
    <w:p w:rsidR="00236539" w:rsidRPr="00137A12" w:rsidRDefault="00236539" w:rsidP="00236539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>
        <w:rPr>
          <w:b/>
          <w:color w:val="000000"/>
          <w:sz w:val="22"/>
        </w:rPr>
        <w:t>30231300-0</w:t>
      </w:r>
      <w:r w:rsidRPr="00137A12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monitory ekranowe </w:t>
      </w:r>
    </w:p>
    <w:p w:rsidR="00236539" w:rsidRDefault="00236539" w:rsidP="00236539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WYMAGANIA W ZAKRESIE ZATRUDNIENIA OSÓB, O KTÓRYCH MOWA </w:t>
      </w:r>
      <w:r w:rsidR="00D166FC">
        <w:rPr>
          <w:b/>
          <w:color w:val="000000"/>
          <w:sz w:val="22"/>
        </w:rPr>
        <w:br/>
      </w:r>
      <w:r w:rsidRPr="00304C22">
        <w:rPr>
          <w:b/>
          <w:color w:val="000000"/>
          <w:sz w:val="22"/>
        </w:rPr>
        <w:t>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D166FC" w:rsidRDefault="00696DCD" w:rsidP="00D166FC">
      <w:pPr>
        <w:rPr>
          <w:color w:val="000000"/>
          <w:sz w:val="22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73D9" w:rsidRPr="00304C22">
        <w:rPr>
          <w:b/>
          <w:color w:val="000000"/>
          <w:sz w:val="22"/>
        </w:rPr>
        <w:t xml:space="preserve"> O ZASTRZEŻENI</w:t>
      </w:r>
      <w:r w:rsidR="00D166FC">
        <w:rPr>
          <w:b/>
          <w:color w:val="000000"/>
          <w:sz w:val="22"/>
        </w:rPr>
        <w:t xml:space="preserve">U MOŻLIWOŚCI UBIEGANIA SIĘ </w:t>
      </w:r>
      <w:r w:rsidR="00D166FC">
        <w:rPr>
          <w:b/>
          <w:color w:val="000000"/>
          <w:sz w:val="22"/>
        </w:rPr>
        <w:br/>
      </w:r>
      <w:r w:rsidR="00BC73D9" w:rsidRPr="00304C22">
        <w:rPr>
          <w:b/>
          <w:color w:val="000000"/>
          <w:sz w:val="22"/>
        </w:rPr>
        <w:t xml:space="preserve">O UDZIELENIE ZAMÓWIENIA WYŁĄCZNIE PRZEZ WYKONAWCÓW, </w:t>
      </w:r>
      <w:r w:rsidR="00D166FC">
        <w:rPr>
          <w:b/>
          <w:color w:val="000000"/>
          <w:sz w:val="22"/>
        </w:rPr>
        <w:br/>
      </w:r>
      <w:r w:rsidR="00BC73D9" w:rsidRPr="00304C22">
        <w:rPr>
          <w:b/>
          <w:color w:val="000000"/>
          <w:sz w:val="22"/>
        </w:rPr>
        <w:t>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D166FC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96DCD" w:rsidRDefault="00D166FC" w:rsidP="00D166FC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D166FC" w:rsidRPr="00D166FC" w:rsidRDefault="00D166FC" w:rsidP="00D166FC">
      <w:pPr>
        <w:spacing w:after="0"/>
        <w:rPr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 xml:space="preserve">ustawy </w:t>
      </w:r>
      <w:proofErr w:type="spellStart"/>
      <w:r w:rsidR="000E5020">
        <w:rPr>
          <w:b w:val="0"/>
          <w:sz w:val="22"/>
          <w:szCs w:val="22"/>
        </w:rPr>
        <w:t>Pzp</w:t>
      </w:r>
      <w:proofErr w:type="spellEnd"/>
      <w:r w:rsidR="000E5020">
        <w:rPr>
          <w:b w:val="0"/>
          <w:sz w:val="22"/>
          <w:szCs w:val="22"/>
        </w:rPr>
        <w:t>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D166FC" w:rsidRPr="00D166FC" w:rsidRDefault="001F7B18" w:rsidP="00D166FC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="003A3A6D">
        <w:rPr>
          <w:sz w:val="22"/>
        </w:rPr>
        <w:t>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B3921" w:rsidRDefault="0091781E" w:rsidP="00D166FC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D166FC">
        <w:rPr>
          <w:sz w:val="22"/>
        </w:rPr>
        <w:t xml:space="preserve">nania zamówienia: 20 dni roboczych od dnia zawarcia umowy. </w:t>
      </w:r>
    </w:p>
    <w:p w:rsidR="00D166FC" w:rsidRPr="00D166FC" w:rsidRDefault="00D166FC" w:rsidP="00D166FC">
      <w:pPr>
        <w:pStyle w:val="Akapitzlist"/>
        <w:rPr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89508E" w:rsidRDefault="00CC0CAA" w:rsidP="00AD62E7">
      <w:pPr>
        <w:pStyle w:val="Tekstpodstawowy"/>
        <w:numPr>
          <w:ilvl w:val="0"/>
          <w:numId w:val="45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 xml:space="preserve">Zgodnie z art. 139 ustawy </w:t>
      </w:r>
      <w:proofErr w:type="spellStart"/>
      <w:r w:rsidRPr="0089508E">
        <w:rPr>
          <w:b w:val="0"/>
          <w:sz w:val="22"/>
          <w:szCs w:val="22"/>
        </w:rPr>
        <w:t>Pzp</w:t>
      </w:r>
      <w:proofErr w:type="spellEnd"/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</w:t>
      </w:r>
      <w:r w:rsidR="00D166FC">
        <w:rPr>
          <w:b w:val="0"/>
          <w:sz w:val="22"/>
          <w:szCs w:val="22"/>
        </w:rPr>
        <w:br/>
      </w:r>
      <w:r w:rsidRPr="0089508E">
        <w:rPr>
          <w:b w:val="0"/>
          <w:sz w:val="22"/>
          <w:szCs w:val="22"/>
        </w:rPr>
        <w:t>a następnie dokona kwalifikacji podmiotowej Wykonawcy, którego oferta została najwyżej oceniona, w zak</w:t>
      </w:r>
      <w:r w:rsidR="00D166FC">
        <w:rPr>
          <w:b w:val="0"/>
          <w:sz w:val="22"/>
          <w:szCs w:val="22"/>
        </w:rPr>
        <w:t>resie braku podstaw wykluczenia</w:t>
      </w:r>
      <w:r w:rsidRPr="0089508E">
        <w:rPr>
          <w:b w:val="0"/>
          <w:sz w:val="22"/>
          <w:szCs w:val="22"/>
        </w:rPr>
        <w:t xml:space="preserve">. </w:t>
      </w:r>
    </w:p>
    <w:p w:rsidR="0089508E" w:rsidRPr="0089508E" w:rsidRDefault="0089508E" w:rsidP="00AD62E7">
      <w:pPr>
        <w:pStyle w:val="Akapitzlist"/>
        <w:numPr>
          <w:ilvl w:val="0"/>
          <w:numId w:val="45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</w:t>
      </w:r>
      <w:r w:rsidR="006E3F09">
        <w:rPr>
          <w:color w:val="000000"/>
          <w:sz w:val="22"/>
        </w:rPr>
        <w:br/>
      </w:r>
      <w:r w:rsidRPr="0089508E">
        <w:rPr>
          <w:color w:val="000000"/>
          <w:sz w:val="22"/>
        </w:rPr>
        <w:t xml:space="preserve">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</w:t>
      </w:r>
      <w:r w:rsidR="006618A4">
        <w:rPr>
          <w:color w:val="000000"/>
          <w:sz w:val="22"/>
        </w:rPr>
        <w:t xml:space="preserve">/7 z dnia 5 stycznia 2016 r. </w:t>
      </w:r>
      <w:r w:rsidRPr="0089508E">
        <w:rPr>
          <w:color w:val="000000"/>
          <w:sz w:val="22"/>
        </w:rPr>
        <w:t>ustanawiającym standardowy formularz jedn</w:t>
      </w:r>
      <w:r w:rsidR="006618A4">
        <w:rPr>
          <w:color w:val="000000"/>
          <w:sz w:val="22"/>
        </w:rPr>
        <w:t xml:space="preserve">olitego europejskiego dokumentu </w:t>
      </w:r>
      <w:r w:rsidRPr="0089508E">
        <w:rPr>
          <w:color w:val="000000"/>
          <w:sz w:val="22"/>
        </w:rPr>
        <w:t>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AD62E7">
      <w:pPr>
        <w:pStyle w:val="Akapitzlist"/>
        <w:numPr>
          <w:ilvl w:val="0"/>
          <w:numId w:val="45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6618A4" w:rsidRDefault="00387A51" w:rsidP="00AD62E7">
      <w:pPr>
        <w:pStyle w:val="Akapitzlist"/>
        <w:numPr>
          <w:ilvl w:val="0"/>
          <w:numId w:val="45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>Oświadczenia te potwie</w:t>
      </w:r>
      <w:r w:rsidR="006618A4">
        <w:rPr>
          <w:color w:val="000000"/>
          <w:sz w:val="22"/>
        </w:rPr>
        <w:t>rdzają brak podstaw wykluczenia</w:t>
      </w:r>
      <w:r w:rsidRPr="00FD59BA">
        <w:rPr>
          <w:color w:val="000000"/>
          <w:sz w:val="22"/>
        </w:rPr>
        <w:t>.</w:t>
      </w:r>
    </w:p>
    <w:p w:rsidR="006618A4" w:rsidRPr="006E3F09" w:rsidRDefault="00387A51" w:rsidP="006E3F09">
      <w:pPr>
        <w:pStyle w:val="Akapitzlist"/>
        <w:numPr>
          <w:ilvl w:val="0"/>
          <w:numId w:val="45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 xml:space="preserve">Wykonawca może wykorzystać jednolity dokument złożony w odrębnym postępowaniu </w:t>
      </w:r>
      <w:r w:rsidR="006618A4">
        <w:rPr>
          <w:color w:val="000000"/>
          <w:sz w:val="22"/>
        </w:rPr>
        <w:br/>
      </w:r>
      <w:r w:rsidRPr="00387A51">
        <w:rPr>
          <w:color w:val="000000"/>
          <w:sz w:val="22"/>
        </w:rPr>
        <w:t>o udzielenie zamówienia, jeżeli potwierdzi, że informacje w nim zawarte pozostają prawidłowe.</w:t>
      </w:r>
    </w:p>
    <w:p w:rsidR="006E3F09" w:rsidRPr="006E3F09" w:rsidRDefault="006E3F09" w:rsidP="006E3F09">
      <w:pPr>
        <w:pStyle w:val="Akapitzlist"/>
        <w:spacing w:before="26" w:after="0" w:line="360" w:lineRule="auto"/>
        <w:ind w:left="108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6618A4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6618A4" w:rsidRDefault="00314F8B" w:rsidP="006618A4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E203BE">
        <w:rPr>
          <w:b/>
          <w:color w:val="000000"/>
          <w:sz w:val="22"/>
        </w:rPr>
        <w:t xml:space="preserve">ENIA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Default="003C66EF" w:rsidP="00AD62E7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O udzielenie zamówienia mogą się ubiegać Wykonawcy, którzy nie podlegają wykluczen</w:t>
      </w:r>
      <w:r w:rsidR="006618A4">
        <w:rPr>
          <w:color w:val="000000" w:themeColor="text1"/>
          <w:sz w:val="22"/>
        </w:rPr>
        <w:t xml:space="preserve">iu na podstawie art. 108 ust. 1 </w:t>
      </w:r>
      <w:r w:rsidRPr="00C02468">
        <w:rPr>
          <w:color w:val="000000" w:themeColor="text1"/>
          <w:sz w:val="22"/>
        </w:rPr>
        <w:t xml:space="preserve">ustawy </w:t>
      </w:r>
      <w:proofErr w:type="spellStart"/>
      <w:r w:rsidRPr="00C02468">
        <w:rPr>
          <w:color w:val="000000" w:themeColor="text1"/>
          <w:sz w:val="22"/>
        </w:rPr>
        <w:t>Pzp</w:t>
      </w:r>
      <w:proofErr w:type="spellEnd"/>
      <w:r w:rsidRPr="00C02468">
        <w:rPr>
          <w:color w:val="000000" w:themeColor="text1"/>
          <w:sz w:val="22"/>
        </w:rPr>
        <w:t xml:space="preserve">. </w:t>
      </w:r>
    </w:p>
    <w:p w:rsidR="006E3F09" w:rsidRPr="00C02468" w:rsidRDefault="006E3F09" w:rsidP="006E3F09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color w:val="000000" w:themeColor="text1"/>
          <w:sz w:val="22"/>
        </w:rPr>
      </w:pPr>
    </w:p>
    <w:p w:rsidR="003C66EF" w:rsidRPr="00C02468" w:rsidRDefault="003C66EF" w:rsidP="00AD62E7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lastRenderedPageBreak/>
        <w:t xml:space="preserve">Wykonawca nie podlega wykluczeniu w okolicznościach określonych w art. 108 ust. 1 </w:t>
      </w:r>
      <w:r w:rsidR="00C4281E">
        <w:rPr>
          <w:color w:val="000000" w:themeColor="text1"/>
          <w:sz w:val="22"/>
        </w:rPr>
        <w:br/>
      </w:r>
      <w:r w:rsidRPr="00C02468">
        <w:rPr>
          <w:color w:val="000000" w:themeColor="text1"/>
          <w:sz w:val="22"/>
        </w:rPr>
        <w:t xml:space="preserve">pkt 1, 2 i 5, jeżeli udowodni Zamawiającemu, że spełnił łącznie przesłanki określone </w:t>
      </w:r>
      <w:r w:rsidR="006618A4">
        <w:rPr>
          <w:color w:val="000000" w:themeColor="text1"/>
          <w:sz w:val="22"/>
        </w:rPr>
        <w:br/>
      </w:r>
      <w:r w:rsidRPr="00C02468">
        <w:rPr>
          <w:color w:val="000000" w:themeColor="text1"/>
          <w:sz w:val="22"/>
        </w:rPr>
        <w:t xml:space="preserve">w art. 110 ust. 2 ustawy </w:t>
      </w:r>
      <w:proofErr w:type="spellStart"/>
      <w:r w:rsidRPr="00C02468">
        <w:rPr>
          <w:color w:val="000000" w:themeColor="text1"/>
          <w:sz w:val="22"/>
        </w:rPr>
        <w:t>Pzp</w:t>
      </w:r>
      <w:proofErr w:type="spellEnd"/>
      <w:r w:rsidRPr="00C02468">
        <w:rPr>
          <w:color w:val="000000" w:themeColor="text1"/>
          <w:sz w:val="22"/>
        </w:rPr>
        <w:t>.</w:t>
      </w:r>
    </w:p>
    <w:p w:rsidR="00E203BE" w:rsidRPr="00C02468" w:rsidRDefault="00E203BE" w:rsidP="00AD62E7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O udzielenie zamówienia mogą się ubiegać Wykonawcy, którzy nie podlegają wykluczeniu na podstawie art.</w:t>
      </w:r>
      <w:r w:rsidR="006E3F09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7 ust.</w:t>
      </w:r>
      <w:r w:rsidR="006E3F09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:rsidR="00C02468" w:rsidRPr="006618A4" w:rsidRDefault="00C02468" w:rsidP="00AD62E7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6618A4">
        <w:rPr>
          <w:color w:val="000000" w:themeColor="text1"/>
          <w:sz w:val="22"/>
        </w:rPr>
        <w:t xml:space="preserve">O udzielenie zamówienia mogą się ubiegać Wykonawcy, którzy nie podlegają wykluczeniu na podstawie art. 5k rozporządzenia Rady (UE) 2022/576 z dnia 8 kwietnia 2022 r. </w:t>
      </w:r>
      <w:r w:rsidR="006E3F09">
        <w:rPr>
          <w:color w:val="000000" w:themeColor="text1"/>
          <w:sz w:val="22"/>
        </w:rPr>
        <w:br/>
      </w:r>
      <w:r w:rsidRPr="006618A4">
        <w:rPr>
          <w:color w:val="000000" w:themeColor="text1"/>
          <w:sz w:val="22"/>
        </w:rPr>
        <w:t xml:space="preserve">w sprawie zmiany rozporządzenia (UE) </w:t>
      </w:r>
      <w:r w:rsidR="002469BE">
        <w:rPr>
          <w:color w:val="000000" w:themeColor="text1"/>
          <w:sz w:val="22"/>
        </w:rPr>
        <w:t xml:space="preserve">Nr 833/2014 dotyczącego środków </w:t>
      </w:r>
      <w:r w:rsidRPr="006618A4">
        <w:rPr>
          <w:color w:val="000000" w:themeColor="text1"/>
          <w:sz w:val="22"/>
        </w:rPr>
        <w:t>ograniczających w związku z działaniami Rosji destabilizującymi sytuację na Ukrainie.</w:t>
      </w:r>
    </w:p>
    <w:p w:rsidR="003C66EF" w:rsidRPr="00C02468" w:rsidRDefault="003C66EF" w:rsidP="00AD62E7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może zostać wykluczony przez Zama</w:t>
      </w:r>
      <w:r w:rsidR="003F791B" w:rsidRPr="00C02468">
        <w:rPr>
          <w:color w:val="000000" w:themeColor="text1"/>
          <w:sz w:val="22"/>
        </w:rPr>
        <w:t>wiającego na każdym etapie postę</w:t>
      </w:r>
      <w:r w:rsidRPr="00C02468">
        <w:rPr>
          <w:color w:val="000000" w:themeColor="text1"/>
          <w:sz w:val="22"/>
        </w:rPr>
        <w:t>powania o udzielenie zamówienia.</w:t>
      </w:r>
    </w:p>
    <w:p w:rsidR="00A30728" w:rsidRPr="006618A4" w:rsidRDefault="00A30728" w:rsidP="006618A4">
      <w:pPr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 Wykonawcy na podstawie art. 10</w:t>
      </w:r>
      <w:r w:rsidR="006618A4">
        <w:rPr>
          <w:color w:val="000000"/>
          <w:sz w:val="22"/>
        </w:rPr>
        <w:t xml:space="preserve">9 ust. 1 ustawy </w:t>
      </w:r>
      <w:proofErr w:type="spellStart"/>
      <w:r w:rsidR="006618A4">
        <w:rPr>
          <w:color w:val="000000"/>
          <w:sz w:val="22"/>
        </w:rPr>
        <w:t>Pzp</w:t>
      </w:r>
      <w:proofErr w:type="spellEnd"/>
      <w:r w:rsidR="006618A4">
        <w:rPr>
          <w:color w:val="000000"/>
          <w:sz w:val="22"/>
        </w:rPr>
        <w:t xml:space="preserve">. </w:t>
      </w:r>
    </w:p>
    <w:p w:rsidR="0047571D" w:rsidRPr="006618A4" w:rsidRDefault="0047571D" w:rsidP="006618A4">
      <w:pPr>
        <w:spacing w:after="0"/>
        <w:jc w:val="both"/>
        <w:rPr>
          <w:b/>
          <w:color w:val="000000"/>
          <w:sz w:val="22"/>
        </w:rPr>
      </w:pPr>
    </w:p>
    <w:p w:rsidR="00161342" w:rsidRDefault="0011793E" w:rsidP="006618A4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6618A4" w:rsidRPr="006618A4" w:rsidRDefault="006618A4" w:rsidP="006618A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4281E" w:rsidRDefault="00161342" w:rsidP="00C4281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  <w:r w:rsidRPr="00161342">
        <w:rPr>
          <w:bCs/>
          <w:sz w:val="22"/>
        </w:rPr>
        <w:t xml:space="preserve">Zamawiający nie określa </w:t>
      </w:r>
      <w:r w:rsidR="00C4281E">
        <w:rPr>
          <w:bCs/>
          <w:sz w:val="22"/>
        </w:rPr>
        <w:t>warunków udziału w postępowaniu.</w:t>
      </w:r>
    </w:p>
    <w:p w:rsidR="00C4281E" w:rsidRPr="00C4281E" w:rsidRDefault="00C4281E" w:rsidP="00C4281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AD62E7">
      <w:pPr>
        <w:pStyle w:val="Akapitzlist"/>
        <w:numPr>
          <w:ilvl w:val="0"/>
          <w:numId w:val="35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D72E1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</w:t>
      </w:r>
      <w:r w:rsidR="006618A4">
        <w:rPr>
          <w:color w:val="000000"/>
          <w:sz w:val="22"/>
        </w:rPr>
        <w:br/>
      </w:r>
      <w:r w:rsidRPr="003C53CB">
        <w:rPr>
          <w:color w:val="000000"/>
          <w:sz w:val="22"/>
        </w:rPr>
        <w:t xml:space="preserve">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</w:t>
      </w:r>
      <w:r w:rsidR="00C02468">
        <w:rPr>
          <w:color w:val="000000"/>
          <w:sz w:val="22"/>
        </w:rPr>
        <w:t>odmiotowych środków dowodowych:</w:t>
      </w:r>
    </w:p>
    <w:p w:rsidR="00AD1FC8" w:rsidRPr="00FB445A" w:rsidRDefault="00AD1FC8" w:rsidP="00AD62E7">
      <w:pPr>
        <w:pStyle w:val="Akapitzlist"/>
        <w:numPr>
          <w:ilvl w:val="0"/>
          <w:numId w:val="36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AD62E7">
      <w:pPr>
        <w:pStyle w:val="Akapitzlist"/>
        <w:numPr>
          <w:ilvl w:val="0"/>
          <w:numId w:val="37"/>
        </w:numPr>
        <w:spacing w:after="0" w:line="360" w:lineRule="auto"/>
        <w:ind w:left="1789"/>
        <w:jc w:val="both"/>
        <w:rPr>
          <w:sz w:val="22"/>
        </w:rPr>
      </w:pPr>
      <w:r w:rsidRPr="00C4281E">
        <w:rPr>
          <w:sz w:val="22"/>
        </w:rPr>
        <w:t xml:space="preserve">art. 108 ust. 1 pkt 1 i 2 </w:t>
      </w:r>
      <w:r w:rsidRPr="001C6761">
        <w:rPr>
          <w:sz w:val="22"/>
        </w:rPr>
        <w:t xml:space="preserve">ustawy </w:t>
      </w:r>
      <w:proofErr w:type="spellStart"/>
      <w:r w:rsidR="00221FD0" w:rsidRPr="001C6761">
        <w:rPr>
          <w:sz w:val="22"/>
        </w:rPr>
        <w:t>Pzp</w:t>
      </w:r>
      <w:proofErr w:type="spellEnd"/>
      <w:r w:rsidRPr="00FB445A">
        <w:rPr>
          <w:color w:val="000000"/>
          <w:sz w:val="22"/>
        </w:rPr>
        <w:t>,</w:t>
      </w:r>
    </w:p>
    <w:p w:rsidR="00AD1FC8" w:rsidRPr="00FB445A" w:rsidRDefault="006618A4" w:rsidP="00AD62E7">
      <w:pPr>
        <w:pStyle w:val="Akapitzlist"/>
        <w:numPr>
          <w:ilvl w:val="0"/>
          <w:numId w:val="37"/>
        </w:numPr>
        <w:spacing w:after="0" w:line="360" w:lineRule="auto"/>
        <w:ind w:left="1789"/>
        <w:jc w:val="both"/>
        <w:rPr>
          <w:sz w:val="22"/>
        </w:rPr>
      </w:pPr>
      <w:r w:rsidRPr="00C4281E">
        <w:rPr>
          <w:sz w:val="22"/>
        </w:rPr>
        <w:t xml:space="preserve">art. 108 </w:t>
      </w:r>
      <w:r w:rsidR="00AD1FC8" w:rsidRPr="00C4281E">
        <w:rPr>
          <w:sz w:val="22"/>
        </w:rPr>
        <w:t xml:space="preserve">ust. 1 pkt 4 </w:t>
      </w:r>
      <w:r w:rsidR="00AD1FC8" w:rsidRPr="001C6761">
        <w:rPr>
          <w:sz w:val="22"/>
        </w:rPr>
        <w:t>ustawy</w:t>
      </w:r>
      <w:r w:rsidR="00221FD0" w:rsidRPr="001C6761">
        <w:rPr>
          <w:sz w:val="22"/>
        </w:rPr>
        <w:t xml:space="preserve"> </w:t>
      </w:r>
      <w:proofErr w:type="spellStart"/>
      <w:r w:rsidR="00221FD0" w:rsidRPr="001C6761">
        <w:rPr>
          <w:sz w:val="22"/>
        </w:rPr>
        <w:t>Pzp</w:t>
      </w:r>
      <w:proofErr w:type="spellEnd"/>
      <w:r w:rsidR="00AD1FC8" w:rsidRPr="00FB445A">
        <w:rPr>
          <w:color w:val="000000"/>
          <w:sz w:val="22"/>
        </w:rPr>
        <w:t xml:space="preserve">, dotyczącej orzeczenia zakazu ubiegania się </w:t>
      </w:r>
      <w:r>
        <w:rPr>
          <w:color w:val="000000"/>
          <w:sz w:val="22"/>
        </w:rPr>
        <w:br/>
      </w:r>
      <w:r w:rsidR="00AD1FC8" w:rsidRPr="00FB445A">
        <w:rPr>
          <w:color w:val="000000"/>
          <w:sz w:val="22"/>
        </w:rPr>
        <w:t>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AD62E7">
      <w:pPr>
        <w:pStyle w:val="Akapitzlist"/>
        <w:numPr>
          <w:ilvl w:val="0"/>
          <w:numId w:val="36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1C6761">
        <w:rPr>
          <w:sz w:val="22"/>
        </w:rPr>
        <w:t xml:space="preserve">art. 108 ust. 1 pkt 5 </w:t>
      </w:r>
      <w:r w:rsidR="00AD1FC8" w:rsidRPr="004309B9">
        <w:rPr>
          <w:color w:val="000000"/>
          <w:sz w:val="22"/>
        </w:rPr>
        <w:t>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</w:t>
      </w:r>
      <w:r w:rsidR="008551C3">
        <w:rPr>
          <w:color w:val="000000"/>
          <w:sz w:val="22"/>
        </w:rPr>
        <w:br/>
      </w:r>
      <w:r w:rsidR="00221FD0">
        <w:rPr>
          <w:color w:val="000000"/>
          <w:sz w:val="22"/>
        </w:rPr>
        <w:t>z innym W</w:t>
      </w:r>
      <w:r w:rsidR="00AD1FC8" w:rsidRPr="004309B9">
        <w:rPr>
          <w:color w:val="000000"/>
          <w:sz w:val="22"/>
        </w:rPr>
        <w:t>ykonawc</w:t>
      </w:r>
      <w:r w:rsidR="008551C3">
        <w:rPr>
          <w:color w:val="000000"/>
          <w:sz w:val="22"/>
        </w:rPr>
        <w:t xml:space="preserve">ą, który złożył odrębną ofertę </w:t>
      </w:r>
      <w:r w:rsidR="00AD1FC8" w:rsidRPr="004309B9">
        <w:rPr>
          <w:color w:val="000000"/>
          <w:sz w:val="22"/>
        </w:rPr>
        <w:t xml:space="preserve">albo oświadczenia o przynależności </w:t>
      </w:r>
      <w:r w:rsidR="00AD1FC8" w:rsidRPr="004309B9">
        <w:rPr>
          <w:color w:val="000000"/>
          <w:sz w:val="22"/>
        </w:rPr>
        <w:lastRenderedPageBreak/>
        <w:t xml:space="preserve">do tej samej grupy kapitałowej wraz z dokumentami </w:t>
      </w:r>
      <w:r w:rsidR="008551C3">
        <w:rPr>
          <w:color w:val="000000"/>
          <w:sz w:val="22"/>
        </w:rPr>
        <w:t xml:space="preserve">lub informacjami </w:t>
      </w:r>
      <w:r w:rsidR="00AD1FC8" w:rsidRPr="004309B9">
        <w:rPr>
          <w:color w:val="000000"/>
          <w:sz w:val="22"/>
        </w:rPr>
        <w:t>potwier</w:t>
      </w:r>
      <w:r w:rsidR="008551C3">
        <w:rPr>
          <w:color w:val="000000"/>
          <w:sz w:val="22"/>
        </w:rPr>
        <w:t xml:space="preserve">dzającymi przygotowanie oferty, </w:t>
      </w:r>
      <w:r w:rsidR="00AD1FC8" w:rsidRPr="004309B9">
        <w:rPr>
          <w:color w:val="000000"/>
          <w:sz w:val="22"/>
        </w:rPr>
        <w:t xml:space="preserve">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AD62E7">
      <w:pPr>
        <w:pStyle w:val="Akapitzlist"/>
        <w:numPr>
          <w:ilvl w:val="0"/>
          <w:numId w:val="36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</w:t>
      </w:r>
      <w:r w:rsidR="008551C3">
        <w:rPr>
          <w:color w:val="000000"/>
          <w:sz w:val="22"/>
        </w:rPr>
        <w:br/>
      </w:r>
      <w:r w:rsidRPr="004309B9">
        <w:rPr>
          <w:color w:val="000000"/>
          <w:sz w:val="22"/>
        </w:rPr>
        <w:t xml:space="preserve">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 xml:space="preserve">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AD62E7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C4281E">
        <w:rPr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</w:t>
      </w:r>
    </w:p>
    <w:p w:rsidR="00294118" w:rsidRPr="004309B9" w:rsidRDefault="00294118" w:rsidP="00AD62E7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C4281E">
        <w:rPr>
          <w:sz w:val="22"/>
        </w:rPr>
        <w:t xml:space="preserve">art. 108 ust. 1 pkt 4 </w:t>
      </w:r>
      <w:r w:rsidRPr="004309B9">
        <w:rPr>
          <w:color w:val="000000"/>
          <w:sz w:val="22"/>
        </w:rPr>
        <w:t>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 xml:space="preserve">, dotyczących orzeczenia zakazu ubiegania się </w:t>
      </w:r>
      <w:r w:rsidR="008551C3">
        <w:rPr>
          <w:color w:val="000000"/>
          <w:sz w:val="22"/>
        </w:rPr>
        <w:br/>
      </w:r>
      <w:r w:rsidRPr="004309B9">
        <w:rPr>
          <w:color w:val="000000"/>
          <w:sz w:val="22"/>
        </w:rPr>
        <w:t>o zamówienie publiczne tytułem środka zapobiegawczego,</w:t>
      </w:r>
    </w:p>
    <w:p w:rsidR="00294118" w:rsidRPr="004309B9" w:rsidRDefault="00294118" w:rsidP="00AD62E7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C4281E">
        <w:rPr>
          <w:sz w:val="22"/>
        </w:rPr>
        <w:t xml:space="preserve">art. 108 ust. 1 pkt 5 </w:t>
      </w:r>
      <w:r w:rsidRPr="004309B9">
        <w:rPr>
          <w:color w:val="000000"/>
          <w:sz w:val="22"/>
        </w:rPr>
        <w:t>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CC41EC" w:rsidRDefault="00294118" w:rsidP="00AD62E7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C4281E">
        <w:rPr>
          <w:sz w:val="22"/>
        </w:rPr>
        <w:t xml:space="preserve">art. 108 ust. 1 pkt 6 </w:t>
      </w:r>
      <w:r>
        <w:rPr>
          <w:color w:val="000000"/>
          <w:sz w:val="22"/>
        </w:rPr>
        <w:t xml:space="preserve">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</w:t>
      </w:r>
    </w:p>
    <w:p w:rsidR="00C02468" w:rsidRPr="00C02468" w:rsidRDefault="00C02468" w:rsidP="00AD62E7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4281E">
        <w:rPr>
          <w:sz w:val="22"/>
        </w:rPr>
        <w:t>art.</w:t>
      </w:r>
      <w:r w:rsidR="007E6A1B" w:rsidRPr="00C4281E">
        <w:rPr>
          <w:sz w:val="22"/>
        </w:rPr>
        <w:t xml:space="preserve"> </w:t>
      </w:r>
      <w:r w:rsidRPr="00C4281E">
        <w:rPr>
          <w:sz w:val="22"/>
        </w:rPr>
        <w:t>7 ust.</w:t>
      </w:r>
      <w:r w:rsidR="007E6A1B" w:rsidRPr="00C4281E">
        <w:rPr>
          <w:sz w:val="22"/>
        </w:rPr>
        <w:t xml:space="preserve"> </w:t>
      </w:r>
      <w:r w:rsidRPr="00C4281E">
        <w:rPr>
          <w:sz w:val="22"/>
        </w:rPr>
        <w:t xml:space="preserve">1 </w:t>
      </w:r>
      <w:r w:rsidRPr="00C02468">
        <w:rPr>
          <w:color w:val="000000" w:themeColor="text1"/>
          <w:sz w:val="22"/>
        </w:rPr>
        <w:t xml:space="preserve">ustawy z dnia 13 kwietnia 2022 r. o szczególnych rozwiązaniach </w:t>
      </w:r>
      <w:r w:rsidR="008551C3">
        <w:rPr>
          <w:color w:val="000000" w:themeColor="text1"/>
          <w:sz w:val="22"/>
        </w:rPr>
        <w:br/>
      </w:r>
      <w:r w:rsidRPr="00C02468">
        <w:rPr>
          <w:color w:val="000000" w:themeColor="text1"/>
          <w:sz w:val="22"/>
        </w:rPr>
        <w:t>w zakresie przeciwdziałania wspieraniu agresji na Ukrainę oraz służących ochronie bezpieczeństwa narodowego.  </w:t>
      </w:r>
    </w:p>
    <w:p w:rsidR="00C02468" w:rsidRPr="00ED7C5D" w:rsidRDefault="008551C3" w:rsidP="00AD62E7">
      <w:pPr>
        <w:pStyle w:val="Akapitzlist"/>
        <w:numPr>
          <w:ilvl w:val="0"/>
          <w:numId w:val="36"/>
        </w:numPr>
        <w:spacing w:before="26" w:after="0" w:line="360" w:lineRule="auto"/>
        <w:ind w:left="1453"/>
        <w:jc w:val="both"/>
        <w:rPr>
          <w:sz w:val="22"/>
        </w:rPr>
      </w:pPr>
      <w:r w:rsidRPr="00ED7C5D">
        <w:rPr>
          <w:sz w:val="22"/>
        </w:rPr>
        <w:t>o</w:t>
      </w:r>
      <w:r w:rsidR="00CC41EC" w:rsidRPr="00ED7C5D">
        <w:rPr>
          <w:sz w:val="22"/>
        </w:rPr>
        <w:t xml:space="preserve">świadczenie </w:t>
      </w:r>
      <w:r w:rsidR="00C02468" w:rsidRPr="00ED7C5D">
        <w:rPr>
          <w:sz w:val="22"/>
        </w:rPr>
        <w:t xml:space="preserve">Wykonawcy </w:t>
      </w:r>
      <w:r w:rsidR="00BF6447" w:rsidRPr="00ED7C5D">
        <w:rPr>
          <w:sz w:val="22"/>
        </w:rPr>
        <w:t xml:space="preserve">o braku podstaw wykluczenia </w:t>
      </w:r>
      <w:r w:rsidR="00C02468" w:rsidRPr="00ED7C5D">
        <w:rPr>
          <w:sz w:val="22"/>
        </w:rPr>
        <w:t xml:space="preserve">w zakresie </w:t>
      </w:r>
      <w:r w:rsidR="00AD7DAC" w:rsidRPr="00ED7C5D">
        <w:rPr>
          <w:sz w:val="22"/>
        </w:rPr>
        <w:t xml:space="preserve">okoliczności określonych </w:t>
      </w:r>
      <w:r w:rsidR="00C02468" w:rsidRPr="00ED7C5D">
        <w:rPr>
          <w:sz w:val="22"/>
        </w:rPr>
        <w:t xml:space="preserve">w art. 5k rozporządzenia Rady (UE) 2022/576 z dnia 8 kwietnia 2022 r. </w:t>
      </w:r>
      <w:r w:rsidR="001C6761" w:rsidRPr="00ED7C5D">
        <w:rPr>
          <w:sz w:val="22"/>
        </w:rPr>
        <w:br/>
      </w:r>
      <w:r w:rsidR="00C02468" w:rsidRPr="00ED7C5D">
        <w:rPr>
          <w:sz w:val="22"/>
        </w:rPr>
        <w:t>w sprawie zmiany rozporządzen</w:t>
      </w:r>
      <w:r w:rsidRPr="00ED7C5D">
        <w:rPr>
          <w:sz w:val="22"/>
        </w:rPr>
        <w:t xml:space="preserve">ia (UE) Nr 833/2014 dotyczącego </w:t>
      </w:r>
      <w:r w:rsidR="00C4281E" w:rsidRPr="00ED7C5D">
        <w:rPr>
          <w:sz w:val="22"/>
        </w:rPr>
        <w:t xml:space="preserve">środków </w:t>
      </w:r>
      <w:r w:rsidR="00C02468" w:rsidRPr="00ED7C5D">
        <w:rPr>
          <w:sz w:val="22"/>
        </w:rPr>
        <w:t>ograniczających w związku z działaniami Rosji destabilizującymi sytuację na Ukrainie.</w:t>
      </w:r>
    </w:p>
    <w:p w:rsidR="00AD1FC8" w:rsidRPr="00C103EF" w:rsidRDefault="00AD1FC8" w:rsidP="00AD62E7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AD62E7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</w:t>
      </w:r>
      <w:r w:rsidR="008551C3">
        <w:rPr>
          <w:color w:val="000000"/>
          <w:sz w:val="22"/>
        </w:rPr>
        <w:t xml:space="preserve">o, o której mowa w ust. 1 pkt 1 </w:t>
      </w:r>
      <w:r w:rsidRPr="00C103EF">
        <w:rPr>
          <w:color w:val="000000"/>
          <w:sz w:val="22"/>
        </w:rPr>
        <w:t xml:space="preserve">- składa informację 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="008551C3">
        <w:rPr>
          <w:color w:val="000000"/>
          <w:sz w:val="22"/>
        </w:rPr>
        <w:br/>
      </w:r>
      <w:r w:rsidRPr="00C103EF">
        <w:rPr>
          <w:color w:val="000000"/>
          <w:sz w:val="22"/>
        </w:rPr>
        <w:t>w zakresie</w:t>
      </w:r>
      <w:r w:rsidR="008551C3">
        <w:rPr>
          <w:color w:val="000000"/>
          <w:sz w:val="22"/>
        </w:rPr>
        <w:t xml:space="preserve">, o którym mowa w  ust. 1 pkt 1. </w:t>
      </w:r>
    </w:p>
    <w:p w:rsidR="00AD1FC8" w:rsidRPr="00C103EF" w:rsidRDefault="00AD1FC8" w:rsidP="00AD62E7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</w:t>
      </w:r>
      <w:r w:rsidR="008551C3">
        <w:rPr>
          <w:color w:val="000000"/>
          <w:sz w:val="22"/>
        </w:rPr>
        <w:br/>
      </w:r>
      <w:r w:rsidRPr="00C103EF">
        <w:rPr>
          <w:color w:val="000000"/>
          <w:sz w:val="22"/>
        </w:rPr>
        <w:t xml:space="preserve">niż 6 miesięcy przed jego złożeniem. </w:t>
      </w:r>
    </w:p>
    <w:p w:rsidR="00AD1FC8" w:rsidRPr="00294118" w:rsidRDefault="008D2285" w:rsidP="00AD62E7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</w:t>
      </w:r>
      <w:r w:rsidR="00AD1FC8" w:rsidRPr="001C6761">
        <w:rPr>
          <w:sz w:val="22"/>
        </w:rPr>
        <w:t xml:space="preserve">w </w:t>
      </w:r>
      <w:r w:rsidR="00AD1FC8" w:rsidRPr="00C4281E">
        <w:rPr>
          <w:sz w:val="22"/>
        </w:rPr>
        <w:t>art. 108 ust. 1 pkt 1, 2 i 4</w:t>
      </w:r>
      <w:r w:rsidRPr="00C4281E">
        <w:rPr>
          <w:sz w:val="22"/>
        </w:rPr>
        <w:t xml:space="preserve"> </w:t>
      </w:r>
      <w:r w:rsidRPr="001C6761">
        <w:rPr>
          <w:sz w:val="22"/>
        </w:rPr>
        <w:t xml:space="preserve">ustawy </w:t>
      </w:r>
      <w:proofErr w:type="spellStart"/>
      <w:r>
        <w:rPr>
          <w:color w:val="1B1B1B"/>
          <w:sz w:val="22"/>
        </w:rPr>
        <w:t>Pzp</w:t>
      </w:r>
      <w:proofErr w:type="spellEnd"/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</w:t>
      </w:r>
      <w:r w:rsidR="00410BA6">
        <w:rPr>
          <w:color w:val="000000"/>
          <w:sz w:val="22"/>
        </w:rPr>
        <w:br/>
      </w:r>
      <w:r w:rsidR="00AD1FC8" w:rsidRPr="00C103EF">
        <w:rPr>
          <w:color w:val="000000"/>
          <w:sz w:val="22"/>
        </w:rPr>
        <w:t xml:space="preserve">lub oświadczenie osoby, której dokument miał dotyczyć, złożone pod przysięgą, lub, jeżeli </w:t>
      </w:r>
      <w:r w:rsidR="00410BA6">
        <w:rPr>
          <w:color w:val="000000"/>
          <w:sz w:val="22"/>
        </w:rPr>
        <w:br/>
      </w:r>
      <w:r w:rsidR="00AD1FC8" w:rsidRPr="00C103EF">
        <w:rPr>
          <w:color w:val="000000"/>
          <w:sz w:val="22"/>
        </w:rPr>
        <w:t xml:space="preserve">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</w:t>
      </w:r>
      <w:r w:rsidR="00410BA6">
        <w:rPr>
          <w:color w:val="000000"/>
          <w:sz w:val="22"/>
        </w:rPr>
        <w:br/>
      </w:r>
      <w:r w:rsidR="00AD1FC8" w:rsidRPr="00C103EF">
        <w:rPr>
          <w:color w:val="000000"/>
          <w:sz w:val="22"/>
        </w:rPr>
        <w:t xml:space="preserve">o oświadczeniu pod przysięgą, złożone przed organem sądowym lub administracyjnym, </w:t>
      </w:r>
      <w:r w:rsidR="00AD1FC8" w:rsidRPr="00C103EF">
        <w:rPr>
          <w:color w:val="000000"/>
          <w:sz w:val="22"/>
        </w:rPr>
        <w:lastRenderedPageBreak/>
        <w:t xml:space="preserve">notariuszem, organem samorządu zawodowego lub gospodarczego, właściwym ze względu </w:t>
      </w:r>
      <w:r w:rsidR="001C6761">
        <w:rPr>
          <w:color w:val="000000"/>
          <w:sz w:val="22"/>
        </w:rPr>
        <w:br/>
      </w:r>
      <w:r w:rsidR="00AD1FC8" w:rsidRPr="00C103EF">
        <w:rPr>
          <w:color w:val="000000"/>
          <w:sz w:val="22"/>
        </w:rPr>
        <w:t xml:space="preserve">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AD62E7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Wykonawca wpisany do ur</w:t>
      </w:r>
      <w:r w:rsidR="001C6761">
        <w:rPr>
          <w:color w:val="000000"/>
          <w:sz w:val="22"/>
        </w:rPr>
        <w:t>zędowego wykazu zatwierdzonych Wykonawców lub W</w:t>
      </w:r>
      <w:r w:rsidRPr="003D65CC">
        <w:rPr>
          <w:color w:val="000000"/>
          <w:sz w:val="22"/>
        </w:rPr>
        <w:t>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</w:t>
      </w:r>
      <w:r w:rsidR="001C6761">
        <w:rPr>
          <w:color w:val="000000"/>
          <w:sz w:val="22"/>
        </w:rPr>
        <w:t xml:space="preserve"> certyfikującą kraju, w którym W</w:t>
      </w:r>
      <w:r w:rsidRPr="003D65CC">
        <w:rPr>
          <w:color w:val="000000"/>
          <w:sz w:val="22"/>
        </w:rPr>
        <w:t>ykonawca ma siedzibę lub miejsce zamieszkania, wskazujące na podmiotowe środki dowodowe stanowiące podstawę wpisu lub uz</w:t>
      </w:r>
      <w:r w:rsidR="001C6761">
        <w:rPr>
          <w:color w:val="000000"/>
          <w:sz w:val="22"/>
        </w:rPr>
        <w:t>yskania certyfikacji, chyba że Z</w:t>
      </w:r>
      <w:r w:rsidRPr="003D65CC">
        <w:rPr>
          <w:color w:val="000000"/>
          <w:sz w:val="22"/>
        </w:rPr>
        <w:t xml:space="preserve">amawiający </w:t>
      </w:r>
      <w:r w:rsidR="001C6761">
        <w:rPr>
          <w:color w:val="000000"/>
          <w:sz w:val="22"/>
        </w:rPr>
        <w:br/>
      </w:r>
      <w:r w:rsidRPr="003D65CC">
        <w:rPr>
          <w:color w:val="000000"/>
          <w:sz w:val="22"/>
        </w:rPr>
        <w:t xml:space="preserve">ma uzasadnione podstawy do zakwestionowania informacji wynikających z zaświadczenia </w:t>
      </w:r>
      <w:r w:rsidR="001C6761">
        <w:rPr>
          <w:color w:val="000000"/>
          <w:sz w:val="22"/>
        </w:rPr>
        <w:br/>
      </w:r>
      <w:r w:rsidRPr="003D65CC">
        <w:rPr>
          <w:color w:val="000000"/>
          <w:sz w:val="22"/>
        </w:rPr>
        <w:t>lub certyfikatu.</w:t>
      </w:r>
    </w:p>
    <w:p w:rsidR="00AD1FC8" w:rsidRPr="003D65CC" w:rsidRDefault="00AD1FC8" w:rsidP="00AD62E7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proofErr w:type="spellStart"/>
      <w:r w:rsidR="003D65CC">
        <w:rPr>
          <w:color w:val="000000"/>
          <w:sz w:val="22"/>
        </w:rPr>
        <w:t>Pzp</w:t>
      </w:r>
      <w:proofErr w:type="spellEnd"/>
      <w:r w:rsidR="003D65CC">
        <w:rPr>
          <w:color w:val="000000"/>
          <w:sz w:val="22"/>
        </w:rPr>
        <w:t xml:space="preserve"> </w:t>
      </w:r>
      <w:r w:rsidR="001C6761">
        <w:rPr>
          <w:color w:val="000000"/>
          <w:sz w:val="22"/>
        </w:rPr>
        <w:br/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</w:t>
      </w:r>
      <w:r w:rsidR="00410BA6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 xml:space="preserve">PRZY UŻYCIU KTÓRYCH ZAMAWIAJĄCY BĘDZIE KOMUNIKOWAŁ SIĘ </w:t>
      </w:r>
      <w:r w:rsidR="00410BA6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>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AD62E7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410BA6">
        <w:rPr>
          <w:color w:val="000000" w:themeColor="text1"/>
          <w:sz w:val="22"/>
        </w:rPr>
        <w:t xml:space="preserve">owaniu o udzielenie zamówienia </w:t>
      </w:r>
      <w:r w:rsidRPr="008733F0">
        <w:rPr>
          <w:color w:val="000000" w:themeColor="text1"/>
          <w:sz w:val="22"/>
        </w:rPr>
        <w:t xml:space="preserve">komunikacja między Zamawiającym </w:t>
      </w:r>
      <w:r w:rsidR="00410BA6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410BA6">
        <w:rPr>
          <w:color w:val="000000" w:themeColor="text1"/>
          <w:sz w:val="22"/>
        </w:rPr>
        <w:br/>
        <w:t xml:space="preserve">za pośrednictwem platformy </w:t>
      </w:r>
      <w:r w:rsidRPr="008733F0">
        <w:rPr>
          <w:color w:val="000000" w:themeColor="text1"/>
          <w:sz w:val="22"/>
        </w:rPr>
        <w:t>zakupowej</w:t>
      </w:r>
      <w:r w:rsidR="00410BA6">
        <w:rPr>
          <w:bCs/>
          <w:iCs/>
          <w:color w:val="000000" w:themeColor="text1"/>
          <w:sz w:val="22"/>
        </w:rPr>
        <w:t xml:space="preserve"> dostępnej pod </w:t>
      </w:r>
      <w:r w:rsidRPr="008733F0">
        <w:rPr>
          <w:bCs/>
          <w:iCs/>
          <w:color w:val="000000" w:themeColor="text1"/>
          <w:sz w:val="22"/>
        </w:rPr>
        <w:t xml:space="preserve">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AD62E7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8551C3">
        <w:rPr>
          <w:b/>
          <w:color w:val="000000" w:themeColor="text1"/>
          <w:sz w:val="22"/>
        </w:rPr>
        <w:t>,</w:t>
      </w:r>
      <w:r w:rsidR="0015518D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161342" w:rsidRPr="008733F0" w:rsidRDefault="008551C3" w:rsidP="00AD62E7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Za datę złożenia dokumentów, </w:t>
      </w:r>
      <w:r w:rsidR="00161342" w:rsidRPr="008733F0">
        <w:rPr>
          <w:color w:val="000000" w:themeColor="text1"/>
          <w:sz w:val="22"/>
        </w:rPr>
        <w:t>o których mowa w ust. 2, przy</w:t>
      </w:r>
      <w:r w:rsidR="0009130A">
        <w:rPr>
          <w:color w:val="000000" w:themeColor="text1"/>
          <w:sz w:val="22"/>
        </w:rPr>
        <w:t xml:space="preserve">jmuje się kliknięcie przycisku </w:t>
      </w:r>
      <w:r w:rsidR="00161342" w:rsidRPr="008733F0">
        <w:rPr>
          <w:color w:val="000000" w:themeColor="text1"/>
          <w:sz w:val="22"/>
        </w:rPr>
        <w:t>”</w:t>
      </w:r>
      <w:r w:rsidR="00161342" w:rsidRPr="008733F0">
        <w:rPr>
          <w:b/>
          <w:color w:val="000000" w:themeColor="text1"/>
          <w:sz w:val="22"/>
        </w:rPr>
        <w:t>WYŚLIJ WIADOMOŚĆ</w:t>
      </w:r>
      <w:r w:rsidR="00161342" w:rsidRPr="008733F0">
        <w:rPr>
          <w:color w:val="000000" w:themeColor="text1"/>
          <w:sz w:val="22"/>
        </w:rPr>
        <w:t>”</w:t>
      </w:r>
      <w:r>
        <w:rPr>
          <w:color w:val="000000" w:themeColor="text1"/>
          <w:sz w:val="22"/>
        </w:rPr>
        <w:t>,</w:t>
      </w:r>
      <w:r w:rsidR="00161342" w:rsidRPr="008733F0">
        <w:rPr>
          <w:color w:val="000000" w:themeColor="text1"/>
          <w:sz w:val="22"/>
        </w:rPr>
        <w:t xml:space="preserve"> po którym pojawi się komunikat</w:t>
      </w:r>
      <w:r w:rsidR="00161342">
        <w:rPr>
          <w:color w:val="000000" w:themeColor="text1"/>
          <w:sz w:val="22"/>
        </w:rPr>
        <w:t>,</w:t>
      </w:r>
      <w:r w:rsidR="00161342" w:rsidRPr="008733F0">
        <w:rPr>
          <w:color w:val="000000" w:themeColor="text1"/>
          <w:sz w:val="22"/>
        </w:rPr>
        <w:t xml:space="preserve"> że wiadomość została wysłana do Zamawiającego</w:t>
      </w:r>
      <w:r>
        <w:rPr>
          <w:color w:val="000000" w:themeColor="text1"/>
          <w:sz w:val="22"/>
        </w:rPr>
        <w:t xml:space="preserve">. </w:t>
      </w:r>
    </w:p>
    <w:p w:rsidR="00161342" w:rsidRPr="00102A09" w:rsidRDefault="00161342" w:rsidP="00AD62E7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AD62E7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</w:t>
      </w:r>
      <w:r w:rsidR="0015518D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3F2F74" w:rsidRPr="0015518D" w:rsidRDefault="00161342" w:rsidP="00AD62E7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15518D">
        <w:rPr>
          <w:color w:val="000000" w:themeColor="text1"/>
          <w:sz w:val="22"/>
        </w:rPr>
        <w:br/>
        <w:t xml:space="preserve">dla </w:t>
      </w:r>
      <w:r w:rsidRPr="00E1439E">
        <w:rPr>
          <w:color w:val="000000" w:themeColor="text1"/>
          <w:sz w:val="22"/>
        </w:rPr>
        <w:t>dokumentów elek</w:t>
      </w:r>
      <w:r w:rsidR="0015518D">
        <w:rPr>
          <w:color w:val="000000" w:themeColor="text1"/>
          <w:sz w:val="22"/>
        </w:rPr>
        <w:t xml:space="preserve">tronicznych oraz </w:t>
      </w:r>
      <w:r w:rsidRPr="00E1439E">
        <w:rPr>
          <w:color w:val="000000" w:themeColor="text1"/>
          <w:sz w:val="22"/>
        </w:rPr>
        <w:t>środków ko</w:t>
      </w:r>
      <w:r w:rsidR="00480AE1">
        <w:rPr>
          <w:color w:val="000000" w:themeColor="text1"/>
          <w:sz w:val="22"/>
        </w:rPr>
        <w:t xml:space="preserve">munikacji elektronicznej </w:t>
      </w:r>
      <w:r w:rsidR="0015518D">
        <w:rPr>
          <w:color w:val="000000" w:themeColor="text1"/>
          <w:sz w:val="22"/>
        </w:rPr>
        <w:br/>
      </w:r>
      <w:r w:rsidR="00480AE1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15518D">
        <w:rPr>
          <w:color w:val="000000" w:themeColor="text1"/>
          <w:sz w:val="22"/>
        </w:rPr>
        <w:br/>
      </w:r>
      <w:r w:rsidRPr="00E1439E">
        <w:rPr>
          <w:i/>
          <w:color w:val="000000" w:themeColor="text1"/>
          <w:sz w:val="22"/>
        </w:rPr>
        <w:t>(Dz.U. z 2020 poz. 2452)</w:t>
      </w:r>
      <w:r w:rsidR="0015518D">
        <w:rPr>
          <w:color w:val="000000" w:themeColor="text1"/>
          <w:sz w:val="22"/>
        </w:rPr>
        <w:t xml:space="preserve">. </w:t>
      </w:r>
    </w:p>
    <w:p w:rsidR="0015518D" w:rsidRPr="0015518D" w:rsidRDefault="0015518D" w:rsidP="0015518D">
      <w:pPr>
        <w:pStyle w:val="Akapitzlist"/>
        <w:spacing w:after="0" w:line="360" w:lineRule="auto"/>
        <w:ind w:left="1071"/>
        <w:jc w:val="both"/>
        <w:rPr>
          <w:color w:val="000000" w:themeColor="text1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</w:t>
      </w:r>
      <w:r w:rsidR="0015518D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15518D" w:rsidRDefault="00ED41E3" w:rsidP="0015518D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15518D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5518D" w:rsidRPr="00554AC2" w:rsidRDefault="0015518D" w:rsidP="00AD62E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komunikowania się z Wykonawcami</w:t>
      </w:r>
      <w:r>
        <w:rPr>
          <w:color w:val="000000" w:themeColor="text1"/>
          <w:sz w:val="22"/>
        </w:rPr>
        <w:t xml:space="preserve">: </w:t>
      </w:r>
    </w:p>
    <w:p w:rsidR="0015518D" w:rsidRPr="007E6E23" w:rsidRDefault="0015518D" w:rsidP="0015518D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15518D" w:rsidRPr="00343D03" w:rsidRDefault="0015518D" w:rsidP="00AD62E7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>N</w:t>
      </w:r>
      <w:r>
        <w:rPr>
          <w:bCs/>
          <w:iCs/>
          <w:sz w:val="22"/>
        </w:rPr>
        <w:t xml:space="preserve">ie będą udzielane </w:t>
      </w:r>
      <w:r w:rsidRPr="0064583B">
        <w:rPr>
          <w:bCs/>
          <w:iCs/>
          <w:sz w:val="22"/>
        </w:rPr>
        <w:t xml:space="preserve">wyjaśnienia na zapytania dotyczące niniejszej SWZ kierowane </w:t>
      </w:r>
      <w:r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CA4B13" w:rsidP="00CA4B13">
      <w:pPr>
        <w:spacing w:after="0" w:line="360" w:lineRule="auto"/>
        <w:jc w:val="both"/>
        <w:rPr>
          <w:sz w:val="22"/>
        </w:rPr>
      </w:pPr>
      <w:r>
        <w:rPr>
          <w:color w:val="000000"/>
          <w:sz w:val="22"/>
        </w:rPr>
        <w:t xml:space="preserve">            </w:t>
      </w:r>
      <w:r w:rsidR="009D1A88">
        <w:rPr>
          <w:color w:val="000000"/>
          <w:sz w:val="22"/>
        </w:rPr>
        <w:t xml:space="preserve"> </w:t>
      </w:r>
      <w:r w:rsidR="00161342" w:rsidRPr="00FB667A">
        <w:rPr>
          <w:color w:val="000000"/>
          <w:sz w:val="22"/>
        </w:rPr>
        <w:t>Wykonawca jest związany ofertą od dnia upływu t</w:t>
      </w:r>
      <w:r w:rsidR="00236539">
        <w:rPr>
          <w:color w:val="000000"/>
          <w:sz w:val="22"/>
        </w:rPr>
        <w:t xml:space="preserve">erminu składania ofert do dnia </w:t>
      </w:r>
      <w:r w:rsidR="009D1A88">
        <w:rPr>
          <w:b/>
          <w:color w:val="000000"/>
          <w:sz w:val="22"/>
        </w:rPr>
        <w:t>14.07</w:t>
      </w:r>
      <w:r>
        <w:rPr>
          <w:b/>
          <w:color w:val="000000"/>
          <w:sz w:val="22"/>
        </w:rPr>
        <w:t>.</w:t>
      </w:r>
      <w:r w:rsidR="00161342" w:rsidRPr="00FB667A">
        <w:rPr>
          <w:b/>
          <w:color w:val="000000"/>
          <w:sz w:val="22"/>
        </w:rPr>
        <w:t>202</w:t>
      </w:r>
      <w:r w:rsidR="00236539">
        <w:rPr>
          <w:b/>
          <w:color w:val="000000"/>
          <w:sz w:val="22"/>
        </w:rPr>
        <w:t>3</w:t>
      </w:r>
      <w:r w:rsidR="00161342" w:rsidRPr="00FB667A">
        <w:rPr>
          <w:b/>
          <w:color w:val="000000"/>
          <w:sz w:val="22"/>
        </w:rPr>
        <w:t xml:space="preserve">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</w:t>
      </w:r>
      <w:r w:rsidR="00CA4B13">
        <w:rPr>
          <w:color w:val="000000"/>
          <w:sz w:val="22"/>
        </w:rPr>
        <w:br/>
      </w:r>
      <w:r w:rsidR="007E55C9">
        <w:rPr>
          <w:color w:val="000000"/>
          <w:sz w:val="22"/>
        </w:rPr>
        <w:t xml:space="preserve">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AD62E7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AD62E7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AD62E7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AD62E7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CA4B13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161342" w:rsidRPr="007922BF" w:rsidRDefault="00161342" w:rsidP="00AD62E7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Default="00161342" w:rsidP="00AD62E7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="00CA4B13">
        <w:rPr>
          <w:color w:val="000000"/>
          <w:sz w:val="22"/>
          <w:szCs w:val="22"/>
        </w:rPr>
        <w:t xml:space="preserve">WZ; </w:t>
      </w:r>
    </w:p>
    <w:p w:rsidR="00963094" w:rsidRPr="00CA4B13" w:rsidRDefault="00963094" w:rsidP="00AD62E7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CA4B13">
        <w:rPr>
          <w:sz w:val="22"/>
          <w:szCs w:val="22"/>
        </w:rPr>
        <w:t xml:space="preserve"> – </w:t>
      </w:r>
      <w:r w:rsidR="00CA4B13">
        <w:rPr>
          <w:i/>
          <w:iCs/>
          <w:sz w:val="22"/>
          <w:szCs w:val="22"/>
        </w:rPr>
        <w:t>jeżeli zostało udzielone</w:t>
      </w:r>
      <w:r w:rsidR="00CA4B13">
        <w:rPr>
          <w:iCs/>
          <w:sz w:val="22"/>
          <w:szCs w:val="22"/>
        </w:rPr>
        <w:t xml:space="preserve">; </w:t>
      </w:r>
    </w:p>
    <w:p w:rsidR="00161342" w:rsidRPr="004E2B8D" w:rsidRDefault="00161342" w:rsidP="00AD62E7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AD62E7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CA4B1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CA4B1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161342" w:rsidRPr="0058393B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 xml:space="preserve">, sporządza się w postaci elektronicznej, w formatach danych określonych w przepisach wydanych na podstawie art. 18 ustawy z dnia 17 lutego 2005 r. o informatyzacji działalności podmiotów realizujących zadania publiczne (Dz. U. z 2020 r. poz. 346, 568, 695, 1517 </w:t>
      </w:r>
      <w:r w:rsidR="00CA4B13">
        <w:rPr>
          <w:sz w:val="22"/>
        </w:rPr>
        <w:br/>
      </w:r>
      <w:r w:rsidRPr="0058393B">
        <w:rPr>
          <w:sz w:val="22"/>
        </w:rPr>
        <w:t>i 2320), z zastrzeżeniem formatów, o których mowa w art. 66 ust. 1 ustawy, z uwzględnieniem rodzaju przekazywanych danych.</w:t>
      </w:r>
    </w:p>
    <w:p w:rsidR="00161342" w:rsidRPr="0058393B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 xml:space="preserve">, przekazywane </w:t>
      </w:r>
      <w:r w:rsidR="00CA4B13">
        <w:rPr>
          <w:sz w:val="22"/>
        </w:rPr>
        <w:br/>
      </w:r>
      <w:r w:rsidRPr="0058393B">
        <w:rPr>
          <w:sz w:val="22"/>
        </w:rPr>
        <w:t xml:space="preserve">w postępowaniu, sporządza się w postaci elektronicznej, w formatach danych określonych </w:t>
      </w:r>
      <w:r w:rsidR="00CA4B13">
        <w:rPr>
          <w:sz w:val="22"/>
        </w:rPr>
        <w:br/>
      </w:r>
      <w:r w:rsidRPr="0058393B">
        <w:rPr>
          <w:sz w:val="22"/>
        </w:rPr>
        <w:t>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42A30">
        <w:rPr>
          <w:sz w:val="22"/>
        </w:rPr>
        <w:t>Pzp</w:t>
      </w:r>
      <w:proofErr w:type="spellEnd"/>
      <w:r w:rsidRPr="00042A30">
        <w:rPr>
          <w:sz w:val="22"/>
        </w:rPr>
        <w:t>.</w:t>
      </w:r>
    </w:p>
    <w:p w:rsidR="00161342" w:rsidRPr="00754D64" w:rsidRDefault="00161342" w:rsidP="00AD62E7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</w:t>
      </w:r>
      <w:r w:rsidR="00CA4B13">
        <w:rPr>
          <w:sz w:val="22"/>
        </w:rPr>
        <w:br/>
      </w:r>
      <w:r w:rsidRPr="00754D64">
        <w:rPr>
          <w:sz w:val="22"/>
        </w:rPr>
        <w:t>w poufności tych informacji, przekazuje je w wydzielonym i odpowiednio oznaczonym pliku.</w:t>
      </w:r>
    </w:p>
    <w:p w:rsidR="00161342" w:rsidRPr="00754D64" w:rsidRDefault="00161342" w:rsidP="00AD6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lastRenderedPageBreak/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</w:t>
      </w:r>
      <w:proofErr w:type="spellStart"/>
      <w:r w:rsidR="004F547E" w:rsidRPr="00231C0C">
        <w:rPr>
          <w:sz w:val="22"/>
        </w:rPr>
        <w:t>Pzp</w:t>
      </w:r>
      <w:proofErr w:type="spellEnd"/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Poświadczenia zgodności cyfrowego odwzorowania z dokumentem w postaci papierowej, </w:t>
      </w:r>
      <w:r w:rsidR="00CA4B13">
        <w:rPr>
          <w:sz w:val="22"/>
        </w:rPr>
        <w:br/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AD62E7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podmiotowych środków dowodowych oraz dokumentów potwierdzających umocowanie </w:t>
      </w:r>
      <w:r w:rsidR="00A35A7A">
        <w:rPr>
          <w:sz w:val="22"/>
        </w:rPr>
        <w:br/>
      </w:r>
      <w:r w:rsidRPr="009F480B">
        <w:rPr>
          <w:sz w:val="22"/>
        </w:rPr>
        <w:t>do reprezentowania - odpowiednio Wykonawca</w:t>
      </w:r>
      <w:r w:rsidR="00A35A7A">
        <w:rPr>
          <w:sz w:val="22"/>
        </w:rPr>
        <w:t xml:space="preserve">, Wykonawca wspólnie ubiegający </w:t>
      </w:r>
      <w:r w:rsidRPr="009F480B">
        <w:rPr>
          <w:sz w:val="22"/>
        </w:rPr>
        <w:t xml:space="preserve">się </w:t>
      </w:r>
      <w:r w:rsidR="00CA4B13">
        <w:rPr>
          <w:sz w:val="22"/>
        </w:rPr>
        <w:br/>
      </w:r>
      <w:r w:rsidRPr="009F480B">
        <w:rPr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CA4B13">
        <w:rPr>
          <w:sz w:val="22"/>
        </w:rPr>
        <w:br/>
      </w:r>
      <w:r w:rsidRPr="009F480B">
        <w:rPr>
          <w:sz w:val="22"/>
        </w:rPr>
        <w:t>do reprezentowania, które każdego z nich dotyczą;</w:t>
      </w:r>
    </w:p>
    <w:p w:rsidR="00161342" w:rsidRPr="009F480B" w:rsidRDefault="00161342" w:rsidP="00AD62E7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AD62E7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</w:t>
      </w:r>
      <w:proofErr w:type="spellStart"/>
      <w:r w:rsidR="004F547E" w:rsidRPr="009F480B">
        <w:rPr>
          <w:sz w:val="22"/>
        </w:rPr>
        <w:t>Pzp</w:t>
      </w:r>
      <w:proofErr w:type="spellEnd"/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Poświadczenia zgodności cyfrowego odwzorowania z dokumentem w postaci papierowej, </w:t>
      </w:r>
      <w:r w:rsidR="00CA4B13">
        <w:rPr>
          <w:sz w:val="22"/>
        </w:rPr>
        <w:br/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 xml:space="preserve">, niewystawione przez upoważnione </w:t>
      </w:r>
      <w:r w:rsidRPr="003C5710">
        <w:rPr>
          <w:sz w:val="22"/>
        </w:rPr>
        <w:lastRenderedPageBreak/>
        <w:t>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 xml:space="preserve">W przypadku gdy podmiotowe środki dowodowe, w tym oświadczenie, o którym mowa </w:t>
      </w:r>
      <w:r w:rsidR="00CA4B13">
        <w:rPr>
          <w:sz w:val="22"/>
        </w:rPr>
        <w:br/>
      </w:r>
      <w:r w:rsidRPr="003C5710">
        <w:rPr>
          <w:sz w:val="22"/>
        </w:rPr>
        <w:t>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 xml:space="preserve">Poświadczenia zgodności cyfrowego odwzorowania z dokumentem w postaci papierowej, </w:t>
      </w:r>
      <w:r w:rsidR="00CA4B13">
        <w:rPr>
          <w:sz w:val="22"/>
        </w:rPr>
        <w:br/>
      </w:r>
      <w:r w:rsidRPr="003C5710">
        <w:rPr>
          <w:sz w:val="22"/>
        </w:rPr>
        <w:t>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AD62E7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AD62E7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AD62E7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AD62E7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 xml:space="preserve">Poświadczenia zgodności cyfrowego odwzorowania z dokumentem w postaci papierowej, </w:t>
      </w:r>
      <w:r w:rsidR="00CA4B13">
        <w:rPr>
          <w:sz w:val="22"/>
        </w:rPr>
        <w:br/>
      </w:r>
      <w:r w:rsidRPr="00B7750D">
        <w:rPr>
          <w:sz w:val="22"/>
        </w:rPr>
        <w:t>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AD62E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AD62E7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CA4B13">
        <w:rPr>
          <w:sz w:val="22"/>
        </w:rPr>
        <w:br/>
      </w:r>
      <w:r w:rsidRPr="009401B1">
        <w:rPr>
          <w:sz w:val="22"/>
        </w:rPr>
        <w:t>na informatycznym nośniku danych;</w:t>
      </w:r>
    </w:p>
    <w:p w:rsidR="00161342" w:rsidRPr="009401B1" w:rsidRDefault="00161342" w:rsidP="00AD62E7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AD62E7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AD62E7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AD6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lastRenderedPageBreak/>
        <w:t>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="00C9772F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t>.</w:t>
      </w:r>
      <w:r w:rsidR="00C9772F">
        <w:rPr>
          <w:rFonts w:eastAsia="Calibri"/>
          <w:sz w:val="22"/>
          <w:lang w:eastAsia="en-US"/>
        </w:rPr>
        <w:t>mp3; .</w:t>
      </w:r>
      <w:proofErr w:type="spellStart"/>
      <w:r w:rsidR="00C9772F">
        <w:rPr>
          <w:rFonts w:eastAsia="Calibri"/>
          <w:sz w:val="22"/>
          <w:lang w:eastAsia="en-US"/>
        </w:rPr>
        <w:t>wav</w:t>
      </w:r>
      <w:proofErr w:type="spellEnd"/>
      <w:r w:rsidR="00C9772F">
        <w:rPr>
          <w:rFonts w:eastAsia="Calibri"/>
          <w:sz w:val="22"/>
          <w:lang w:eastAsia="en-US"/>
        </w:rPr>
        <w:t>; .mp4</w:t>
      </w:r>
      <w:r w:rsidR="003E1CFB">
        <w:rPr>
          <w:rFonts w:eastAsia="Calibri"/>
          <w:sz w:val="22"/>
          <w:lang w:eastAsia="en-US"/>
        </w:rPr>
        <w:t>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AD62E7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CA4B13">
        <w:rPr>
          <w:sz w:val="22"/>
          <w:szCs w:val="22"/>
        </w:rPr>
        <w:br/>
      </w:r>
      <w:r w:rsidRPr="009671A6">
        <w:rPr>
          <w:sz w:val="22"/>
          <w:szCs w:val="22"/>
        </w:rPr>
        <w:t>w art. 222 ust. 5</w:t>
      </w:r>
      <w:r w:rsidR="00592F6B">
        <w:rPr>
          <w:sz w:val="22"/>
          <w:szCs w:val="22"/>
        </w:rPr>
        <w:t xml:space="preserve"> ustawy </w:t>
      </w:r>
      <w:proofErr w:type="spellStart"/>
      <w:r w:rsidR="00592F6B">
        <w:rPr>
          <w:sz w:val="22"/>
          <w:szCs w:val="22"/>
        </w:rPr>
        <w:t>Pzp</w:t>
      </w:r>
      <w:proofErr w:type="spellEnd"/>
      <w:r w:rsidR="00592F6B">
        <w:rPr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AD62E7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AD62E7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="00CA4B13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9D1A88">
        <w:rPr>
          <w:b/>
          <w:color w:val="0000FF"/>
          <w:sz w:val="22"/>
          <w:szCs w:val="22"/>
        </w:rPr>
        <w:t>dnia 17.04</w:t>
      </w:r>
      <w:r w:rsidR="00CA4B13">
        <w:rPr>
          <w:b/>
          <w:color w:val="0000FF"/>
          <w:sz w:val="22"/>
          <w:szCs w:val="22"/>
        </w:rPr>
        <w:t>.2023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AD62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AD62E7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AD62E7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AD62E7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CA4B13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AD62E7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CA4B13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AD62E7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AD62E7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AD62E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AD62E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AD62E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AD62E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AD62E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AD62E7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lastRenderedPageBreak/>
        <w:t>Wymagania techniczne i organizacyjne wysyłania i odbierania dokumentów elektronicznych, elektronicznych kopii dokumentów i oświadczeń oraz informacji przekazywanych za pośrednictwem platformy zakupowej o której</w:t>
      </w:r>
      <w:r w:rsidR="00A35A7A">
        <w:rPr>
          <w:color w:val="000000" w:themeColor="text1"/>
          <w:sz w:val="22"/>
        </w:rPr>
        <w:t xml:space="preserve"> mowa w ust. 1, opisane zostały </w:t>
      </w:r>
      <w:r w:rsidRPr="00102A09">
        <w:rPr>
          <w:color w:val="000000" w:themeColor="text1"/>
          <w:sz w:val="22"/>
        </w:rPr>
        <w:t xml:space="preserve">w Regulaminie platformazakupowa.pl oraz Instrukcji </w:t>
      </w:r>
      <w:r w:rsidR="00CA4B13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</w:t>
      </w:r>
      <w:r w:rsidR="00A35A7A">
        <w:rPr>
          <w:color w:val="000000" w:themeColor="text1"/>
          <w:sz w:val="22"/>
        </w:rPr>
        <w:t xml:space="preserve">zącej danego postępowania oraz stronie </w:t>
      </w:r>
      <w:r w:rsidRPr="00102A09">
        <w:rPr>
          <w:color w:val="000000" w:themeColor="text1"/>
          <w:sz w:val="22"/>
        </w:rPr>
        <w:t>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AD62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A35A7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CA4B13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AD62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CA4B1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480AE1">
        <w:rPr>
          <w:color w:val="000000" w:themeColor="text1"/>
          <w:sz w:val="22"/>
        </w:rPr>
        <w:t xml:space="preserve">munikacji elektronicznej </w:t>
      </w:r>
      <w:r w:rsidR="00CA4B13">
        <w:rPr>
          <w:color w:val="000000" w:themeColor="text1"/>
          <w:sz w:val="22"/>
        </w:rPr>
        <w:br/>
      </w:r>
      <w:r w:rsidR="00480AE1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</w:t>
      </w:r>
      <w:r w:rsidR="00CA4B1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CA4B1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CA4B13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AD62E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9D1A88">
        <w:rPr>
          <w:b/>
          <w:color w:val="0000FF"/>
          <w:sz w:val="22"/>
        </w:rPr>
        <w:t>17.04</w:t>
      </w:r>
      <w:r w:rsidR="00CA4B13">
        <w:rPr>
          <w:b/>
          <w:color w:val="0000FF"/>
          <w:sz w:val="22"/>
        </w:rPr>
        <w:t>.</w:t>
      </w:r>
      <w:r w:rsidR="00EC0883">
        <w:rPr>
          <w:b/>
          <w:color w:val="0000FF"/>
          <w:sz w:val="22"/>
        </w:rPr>
        <w:t>2023</w:t>
      </w:r>
      <w:bookmarkStart w:id="0" w:name="_GoBack"/>
      <w:bookmarkEnd w:id="0"/>
      <w:r w:rsidR="009D1A88">
        <w:rPr>
          <w:b/>
          <w:color w:val="0000FF"/>
          <w:sz w:val="22"/>
        </w:rPr>
        <w:t xml:space="preserve"> r. o godz. 10:15</w:t>
      </w:r>
      <w:r w:rsidR="009557EF">
        <w:rPr>
          <w:b/>
          <w:color w:val="0000FF"/>
          <w:sz w:val="22"/>
        </w:rPr>
        <w:t xml:space="preserve"> </w:t>
      </w:r>
      <w:r w:rsidRPr="008352DB">
        <w:rPr>
          <w:sz w:val="22"/>
        </w:rPr>
        <w:t xml:space="preserve"> </w:t>
      </w:r>
    </w:p>
    <w:p w:rsidR="009F69EA" w:rsidRDefault="009F69EA" w:rsidP="00AD62E7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CA4B13" w:rsidRPr="008352DB" w:rsidRDefault="00CA4B13" w:rsidP="00CA4B13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AD62E7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AD62E7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AD62E7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CA4B13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9F69EA" w:rsidRPr="000C0FB8" w:rsidRDefault="009F69EA" w:rsidP="00AD62E7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CA4B13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9F69EA" w:rsidRPr="000C0FB8" w:rsidRDefault="009F69EA" w:rsidP="00AD62E7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AD62E7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AD62E7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AD62E7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AD62E7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9F69EA" w:rsidRPr="00CA4B13" w:rsidRDefault="009F69EA" w:rsidP="00AD62E7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CA4B13">
        <w:rPr>
          <w:color w:val="000000"/>
          <w:sz w:val="22"/>
          <w:szCs w:val="22"/>
        </w:rPr>
        <w:t>Ceny jednostkowe złożone w ofercie nie mogą ulec zmianie w trakcie realizacji umowy</w:t>
      </w:r>
      <w:r w:rsidR="00CA4B13">
        <w:rPr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CA4B13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F69EA" w:rsidRPr="00A703F5" w:rsidRDefault="00CA4B13" w:rsidP="00CA4B13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   2) </w:t>
      </w:r>
      <w:r w:rsidRPr="00CA4B13">
        <w:rPr>
          <w:b/>
          <w:color w:val="000000"/>
          <w:sz w:val="22"/>
        </w:rPr>
        <w:t>Termin gwarancji</w:t>
      </w:r>
      <w:r>
        <w:rPr>
          <w:color w:val="000000"/>
          <w:sz w:val="22"/>
        </w:rPr>
        <w:t xml:space="preserve"> – znaczenie kryterium – 40 %</w:t>
      </w:r>
    </w:p>
    <w:p w:rsidR="009F69EA" w:rsidRPr="00CA4B13" w:rsidRDefault="009F69EA" w:rsidP="00AD62E7">
      <w:pPr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CA4B13" w:rsidRPr="00A703F5" w:rsidRDefault="00CA4B13" w:rsidP="00CA4B13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F69EA" w:rsidRPr="00C4281E" w:rsidRDefault="009F69EA" w:rsidP="00AD62E7">
      <w:pPr>
        <w:numPr>
          <w:ilvl w:val="0"/>
          <w:numId w:val="1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C4281E" w:rsidRDefault="00C4281E" w:rsidP="00C4281E">
      <w:pPr>
        <w:shd w:val="clear" w:color="auto" w:fill="FFFFFF"/>
        <w:jc w:val="both"/>
        <w:rPr>
          <w:sz w:val="22"/>
          <w:lang w:eastAsia="en-US"/>
        </w:rPr>
      </w:pPr>
    </w:p>
    <w:p w:rsidR="009F69EA" w:rsidRPr="00A703F5" w:rsidRDefault="00C4281E" w:rsidP="00C4281E">
      <w:pPr>
        <w:shd w:val="clear" w:color="auto" w:fill="FFFFFF"/>
        <w:jc w:val="both"/>
        <w:rPr>
          <w:rFonts w:eastAsia="Calibri"/>
          <w:color w:val="000000"/>
          <w:sz w:val="22"/>
        </w:rPr>
      </w:pPr>
      <w:r>
        <w:rPr>
          <w:sz w:val="22"/>
          <w:lang w:eastAsia="en-US"/>
        </w:rPr>
        <w:t xml:space="preserve">            </w:t>
      </w:r>
      <w:r w:rsidR="009F69EA"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C4281E">
        <w:rPr>
          <w:color w:val="000000"/>
          <w:sz w:val="22"/>
          <w:lang w:eastAsia="en-US"/>
        </w:rPr>
        <w:t xml:space="preserve">  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 w:rsidR="00C4281E">
        <w:rPr>
          <w:color w:val="000000"/>
          <w:sz w:val="22"/>
          <w:lang w:eastAsia="en-US"/>
        </w:rPr>
        <w:t xml:space="preserve">                          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F69EA" w:rsidRPr="00A703F5" w:rsidRDefault="00CA4B13" w:rsidP="00AD62E7">
      <w:pPr>
        <w:numPr>
          <w:ilvl w:val="0"/>
          <w:numId w:val="17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gwarancji</w:t>
      </w:r>
      <w:r w:rsidR="009F69EA" w:rsidRPr="00A703F5">
        <w:rPr>
          <w:b/>
          <w:sz w:val="22"/>
          <w:lang w:val="cs-CZ" w:eastAsia="en-US"/>
        </w:rPr>
        <w:t>:</w:t>
      </w:r>
    </w:p>
    <w:p w:rsidR="009F69EA" w:rsidRDefault="009F69EA" w:rsidP="009F69EA">
      <w:pPr>
        <w:ind w:left="1788"/>
        <w:jc w:val="both"/>
        <w:rPr>
          <w:b/>
          <w:sz w:val="22"/>
          <w:lang w:val="cs-CZ" w:eastAsia="en-US"/>
        </w:rPr>
      </w:pPr>
    </w:p>
    <w:p w:rsidR="00FC3DEC" w:rsidRPr="00BD294B" w:rsidRDefault="00FC3DEC" w:rsidP="00A35A7A">
      <w:pPr>
        <w:pStyle w:val="Akapitzlist"/>
        <w:spacing w:after="0" w:line="360" w:lineRule="auto"/>
        <w:ind w:left="709" w:hanging="142"/>
        <w:contextualSpacing w:val="0"/>
        <w:jc w:val="both"/>
        <w:rPr>
          <w:sz w:val="22"/>
        </w:rPr>
      </w:pPr>
      <w:r>
        <w:rPr>
          <w:sz w:val="22"/>
        </w:rPr>
        <w:t xml:space="preserve">  W kryterium „</w:t>
      </w:r>
      <w:r w:rsidRPr="00BD294B">
        <w:rPr>
          <w:sz w:val="22"/>
        </w:rPr>
        <w:t>termin gwarancji” ocenie będzie po</w:t>
      </w:r>
      <w:r>
        <w:rPr>
          <w:sz w:val="22"/>
        </w:rPr>
        <w:t>d</w:t>
      </w:r>
      <w:r w:rsidRPr="00BD294B">
        <w:rPr>
          <w:sz w:val="22"/>
        </w:rPr>
        <w:t>legać liczba miesięcy, o jaką Wykonawca zobow</w:t>
      </w:r>
      <w:r w:rsidR="009C588F">
        <w:rPr>
          <w:sz w:val="22"/>
        </w:rPr>
        <w:t>iąże się wydłużyć obowiązkowy 36</w:t>
      </w:r>
      <w:r w:rsidRPr="00BD294B">
        <w:rPr>
          <w:sz w:val="22"/>
        </w:rPr>
        <w:t>-miesięczny termin gwarancji</w:t>
      </w:r>
      <w:r w:rsidR="00A35A7A">
        <w:rPr>
          <w:sz w:val="22"/>
        </w:rPr>
        <w:t xml:space="preserve"> </w:t>
      </w:r>
      <w:r w:rsidR="00A35A7A" w:rsidRPr="00C4281E">
        <w:rPr>
          <w:b/>
          <w:sz w:val="22"/>
        </w:rPr>
        <w:t>dla monitora typ I</w:t>
      </w:r>
      <w:r w:rsidRPr="00BD294B">
        <w:rPr>
          <w:sz w:val="22"/>
        </w:rPr>
        <w:t>.</w:t>
      </w:r>
      <w:r>
        <w:rPr>
          <w:sz w:val="22"/>
        </w:rPr>
        <w:t xml:space="preserve"> Obowiązkowy termin gwarancji będzie liczony od dnia podpisania protokołu odbioru. </w:t>
      </w:r>
    </w:p>
    <w:p w:rsidR="00FC3DEC" w:rsidRPr="002D43B2" w:rsidRDefault="00FC3DEC" w:rsidP="00A35A7A">
      <w:pPr>
        <w:spacing w:after="0" w:line="360" w:lineRule="auto"/>
        <w:ind w:left="567"/>
        <w:jc w:val="both"/>
        <w:rPr>
          <w:sz w:val="22"/>
        </w:rPr>
      </w:pPr>
      <w:r>
        <w:rPr>
          <w:sz w:val="22"/>
        </w:rPr>
        <w:t xml:space="preserve">  </w:t>
      </w:r>
      <w:r w:rsidRPr="00921493">
        <w:rPr>
          <w:sz w:val="22"/>
        </w:rPr>
        <w:t>Wykonawca w formularzu ofertowym ws</w:t>
      </w:r>
      <w:r>
        <w:rPr>
          <w:sz w:val="22"/>
        </w:rPr>
        <w:t>kazuje liczbę miesięcy,</w:t>
      </w:r>
      <w:r w:rsidRPr="00921493">
        <w:rPr>
          <w:sz w:val="22"/>
        </w:rPr>
        <w:t xml:space="preserve"> o jaką oferuje</w:t>
      </w:r>
      <w:r>
        <w:rPr>
          <w:sz w:val="22"/>
        </w:rPr>
        <w:t xml:space="preserve"> </w:t>
      </w:r>
      <w:r w:rsidR="009C588F">
        <w:rPr>
          <w:sz w:val="22"/>
        </w:rPr>
        <w:t xml:space="preserve">wydłużenie   </w:t>
      </w:r>
      <w:r w:rsidR="009C588F">
        <w:rPr>
          <w:sz w:val="22"/>
        </w:rPr>
        <w:br/>
        <w:t xml:space="preserve">  obowiązkowego 36</w:t>
      </w:r>
      <w:r>
        <w:rPr>
          <w:sz w:val="22"/>
        </w:rPr>
        <w:t>-</w:t>
      </w:r>
      <w:r w:rsidR="009C588F">
        <w:rPr>
          <w:sz w:val="22"/>
        </w:rPr>
        <w:t xml:space="preserve">miesięcznego terminu gwarancji dla monitora typ I. </w:t>
      </w:r>
    </w:p>
    <w:p w:rsidR="00FC3DEC" w:rsidRPr="002D43B2" w:rsidRDefault="00FC3DEC" w:rsidP="00A35A7A">
      <w:pPr>
        <w:tabs>
          <w:tab w:val="left" w:pos="709"/>
        </w:tabs>
        <w:spacing w:after="0" w:line="360" w:lineRule="auto"/>
        <w:ind w:left="567"/>
        <w:jc w:val="both"/>
        <w:rPr>
          <w:sz w:val="22"/>
        </w:rPr>
      </w:pPr>
      <w:r>
        <w:rPr>
          <w:sz w:val="22"/>
        </w:rPr>
        <w:t xml:space="preserve">  Maksymalny okres wydłużenia terminu gwarancji podlegający ocenie wynosi </w:t>
      </w:r>
      <w:r>
        <w:rPr>
          <w:sz w:val="22"/>
          <w:u w:val="single"/>
        </w:rPr>
        <w:t>12</w:t>
      </w:r>
      <w:r w:rsidRPr="002D43B2">
        <w:rPr>
          <w:sz w:val="22"/>
          <w:u w:val="single"/>
        </w:rPr>
        <w:t xml:space="preserve"> miesięcy</w:t>
      </w:r>
      <w:r w:rsidRPr="002D43B2">
        <w:rPr>
          <w:sz w:val="22"/>
        </w:rPr>
        <w:t xml:space="preserve">. </w:t>
      </w:r>
    </w:p>
    <w:p w:rsidR="00FC3DEC" w:rsidRDefault="00FC3DEC" w:rsidP="00A35A7A">
      <w:pPr>
        <w:tabs>
          <w:tab w:val="left" w:pos="709"/>
        </w:tabs>
        <w:spacing w:line="360" w:lineRule="auto"/>
        <w:ind w:left="567"/>
        <w:jc w:val="both"/>
        <w:rPr>
          <w:sz w:val="22"/>
        </w:rPr>
      </w:pPr>
      <w:r>
        <w:rPr>
          <w:sz w:val="22"/>
        </w:rPr>
        <w:lastRenderedPageBreak/>
        <w:t xml:space="preserve">  Jeżeli </w:t>
      </w:r>
      <w:r w:rsidRPr="00921493">
        <w:rPr>
          <w:sz w:val="22"/>
        </w:rPr>
        <w:t>Wy</w:t>
      </w:r>
      <w:r>
        <w:rPr>
          <w:sz w:val="22"/>
        </w:rPr>
        <w:t xml:space="preserve">konawca w formularzu ofertowym nie zaoferuje wydłużenia terminu gwarancji, </w:t>
      </w:r>
      <w:r w:rsidRPr="00921493">
        <w:rPr>
          <w:sz w:val="22"/>
        </w:rPr>
        <w:t xml:space="preserve">jego </w:t>
      </w:r>
      <w:r>
        <w:rPr>
          <w:sz w:val="22"/>
        </w:rPr>
        <w:t xml:space="preserve">  </w:t>
      </w:r>
      <w:r>
        <w:rPr>
          <w:sz w:val="22"/>
        </w:rPr>
        <w:br/>
        <w:t xml:space="preserve">  </w:t>
      </w:r>
      <w:r w:rsidRPr="00921493">
        <w:rPr>
          <w:sz w:val="22"/>
        </w:rPr>
        <w:t>oferta w powyższym kryterium otrzyma 0 punktów bez podstawiania do wzoru.</w:t>
      </w:r>
    </w:p>
    <w:p w:rsidR="00FC3DEC" w:rsidRPr="00553924" w:rsidRDefault="00FC3DEC" w:rsidP="00FC3DEC">
      <w:pPr>
        <w:tabs>
          <w:tab w:val="left" w:pos="709"/>
          <w:tab w:val="left" w:pos="851"/>
        </w:tabs>
        <w:spacing w:line="360" w:lineRule="auto"/>
        <w:ind w:left="567"/>
        <w:jc w:val="both"/>
        <w:rPr>
          <w:sz w:val="22"/>
        </w:rPr>
      </w:pPr>
      <w:r>
        <w:rPr>
          <w:sz w:val="22"/>
        </w:rPr>
        <w:t xml:space="preserve">  W przypadku, gdy W</w:t>
      </w:r>
      <w:r w:rsidR="009C588F">
        <w:rPr>
          <w:sz w:val="22"/>
        </w:rPr>
        <w:t>ykonawca zaoferuje wydłużenie 36</w:t>
      </w:r>
      <w:r>
        <w:rPr>
          <w:sz w:val="22"/>
        </w:rPr>
        <w:t xml:space="preserve">-miesięcznego terminu gwarancji </w:t>
      </w:r>
      <w:r>
        <w:rPr>
          <w:sz w:val="22"/>
        </w:rPr>
        <w:br/>
        <w:t xml:space="preserve">  o okres dłuższy niż 12 miesięcy, termin gwarancji zostani</w:t>
      </w:r>
      <w:r w:rsidR="006E3F09">
        <w:rPr>
          <w:sz w:val="22"/>
        </w:rPr>
        <w:t xml:space="preserve">e oceniony jak dla 12 miesięcy  </w:t>
      </w:r>
      <w:r w:rsidR="006E3F09">
        <w:rPr>
          <w:sz w:val="22"/>
        </w:rPr>
        <w:br/>
        <w:t xml:space="preserve">  wydłużenia terminu gwarancji. </w:t>
      </w:r>
    </w:p>
    <w:p w:rsidR="00FC3DEC" w:rsidRPr="000D0CE7" w:rsidRDefault="00FC3DEC" w:rsidP="00FC3DEC">
      <w:pPr>
        <w:shd w:val="clear" w:color="auto" w:fill="FFFFFF"/>
        <w:ind w:left="709"/>
        <w:jc w:val="both"/>
        <w:rPr>
          <w:rFonts w:eastAsia="Calibri"/>
          <w:color w:val="000000"/>
          <w:sz w:val="22"/>
        </w:rPr>
      </w:pPr>
      <w:r w:rsidRPr="00C7484F">
        <w:rPr>
          <w:rFonts w:eastAsia="Calibri"/>
          <w:color w:val="000000"/>
          <w:sz w:val="22"/>
        </w:rPr>
        <w:t>Punkty w tym kryterium obliczone zostaną według wzoru:</w:t>
      </w:r>
    </w:p>
    <w:p w:rsidR="00FC3DEC" w:rsidRPr="00C7484F" w:rsidRDefault="00FC3DEC" w:rsidP="00FC3DEC">
      <w:pPr>
        <w:suppressAutoHyphens/>
        <w:ind w:left="378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liczba miesięcy wydłużających termin gwarancji </w:t>
      </w:r>
      <w:r>
        <w:rPr>
          <w:sz w:val="22"/>
          <w:lang w:eastAsia="ar-SA"/>
        </w:rPr>
        <w:br/>
        <w:t xml:space="preserve">                        w </w:t>
      </w:r>
      <w:r w:rsidRPr="00C7484F">
        <w:rPr>
          <w:sz w:val="22"/>
          <w:lang w:eastAsia="ar-SA"/>
        </w:rPr>
        <w:t>badanej ofercie</w:t>
      </w:r>
    </w:p>
    <w:p w:rsidR="00FC3DEC" w:rsidRPr="00C7484F" w:rsidRDefault="00FC3DEC" w:rsidP="00FC3DEC">
      <w:pPr>
        <w:suppressAutoHyphens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liczba uzyskanych punktów = </w:t>
      </w:r>
      <w:r w:rsidRPr="00C7484F">
        <w:rPr>
          <w:color w:val="000000"/>
          <w:sz w:val="22"/>
          <w:lang w:eastAsia="ar-SA"/>
        </w:rPr>
        <w:t>----------------------------------------------</w:t>
      </w:r>
      <w:r>
        <w:rPr>
          <w:color w:val="000000"/>
          <w:sz w:val="22"/>
          <w:lang w:eastAsia="ar-SA"/>
        </w:rPr>
        <w:t xml:space="preserve">-------------------------- </w:t>
      </w:r>
      <w:r>
        <w:rPr>
          <w:sz w:val="22"/>
          <w:lang w:eastAsia="ar-SA"/>
        </w:rPr>
        <w:t>x 4</w:t>
      </w:r>
      <w:r w:rsidRPr="00C7484F">
        <w:rPr>
          <w:sz w:val="22"/>
          <w:lang w:eastAsia="ar-SA"/>
        </w:rPr>
        <w:t>0</w:t>
      </w:r>
    </w:p>
    <w:p w:rsidR="00FC3DEC" w:rsidRDefault="00FC3DEC" w:rsidP="00FC3DEC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najwyższa</w:t>
      </w:r>
      <w:r w:rsidRPr="00C7484F">
        <w:rPr>
          <w:sz w:val="22"/>
          <w:lang w:eastAsia="ar-SA"/>
        </w:rPr>
        <w:t xml:space="preserve"> liczba</w:t>
      </w:r>
      <w:r>
        <w:rPr>
          <w:sz w:val="22"/>
          <w:lang w:eastAsia="ar-SA"/>
        </w:rPr>
        <w:t xml:space="preserve"> miesięcy wydłużających termin gwarancji</w:t>
      </w:r>
      <w:r>
        <w:rPr>
          <w:sz w:val="22"/>
          <w:lang w:eastAsia="ar-SA"/>
        </w:rPr>
        <w:br/>
        <w:t xml:space="preserve">                                                                                       </w:t>
      </w:r>
      <w:r w:rsidRPr="00C7484F">
        <w:rPr>
          <w:sz w:val="22"/>
          <w:lang w:eastAsia="ar-SA"/>
        </w:rPr>
        <w:t>spośród badanych ofert</w:t>
      </w:r>
    </w:p>
    <w:p w:rsidR="00FC3DEC" w:rsidRPr="00FC3DEC" w:rsidRDefault="00FC3DEC" w:rsidP="00FC3DEC">
      <w:pPr>
        <w:tabs>
          <w:tab w:val="left" w:pos="709"/>
        </w:tabs>
        <w:suppressAutoHyphens/>
        <w:spacing w:line="360" w:lineRule="auto"/>
        <w:ind w:left="709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 xml:space="preserve">Wynik działania zostanie </w:t>
      </w:r>
      <w:r w:rsidRPr="009532B9">
        <w:rPr>
          <w:color w:val="000000"/>
          <w:sz w:val="22"/>
          <w:lang w:eastAsia="ar-SA"/>
        </w:rPr>
        <w:t>zaokrąglony do 2 miejsc po przecinku,</w:t>
      </w:r>
      <w:r w:rsidRPr="009532B9">
        <w:rPr>
          <w:sz w:val="22"/>
          <w:lang w:eastAsia="ar-SA"/>
        </w:rPr>
        <w:t xml:space="preserve"> maksymalna liczba punktów </w:t>
      </w:r>
      <w:r>
        <w:rPr>
          <w:sz w:val="22"/>
          <w:lang w:eastAsia="ar-SA"/>
        </w:rPr>
        <w:t xml:space="preserve"> jaką można uzyskać – 4</w:t>
      </w:r>
      <w:r w:rsidRPr="009532B9">
        <w:rPr>
          <w:sz w:val="22"/>
          <w:lang w:eastAsia="ar-SA"/>
        </w:rPr>
        <w:t>0</w:t>
      </w:r>
    </w:p>
    <w:p w:rsidR="009F69EA" w:rsidRPr="009C588F" w:rsidRDefault="009F69EA" w:rsidP="009C588F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51" w:hanging="142"/>
        <w:jc w:val="both"/>
        <w:rPr>
          <w:sz w:val="22"/>
          <w:lang w:val="cs-CZ" w:eastAsia="en-US"/>
        </w:rPr>
      </w:pPr>
      <w:r w:rsidRPr="009C588F">
        <w:rPr>
          <w:sz w:val="22"/>
          <w:lang w:val="cs-CZ" w:eastAsia="en-US"/>
        </w:rPr>
        <w:t xml:space="preserve">Suma punktów za </w:t>
      </w:r>
      <w:r w:rsidR="00480AE1" w:rsidRPr="009C588F">
        <w:rPr>
          <w:sz w:val="22"/>
          <w:lang w:val="cs-CZ" w:eastAsia="en-US"/>
        </w:rPr>
        <w:t xml:space="preserve">wszystkie </w:t>
      </w:r>
      <w:r w:rsidRPr="009C588F">
        <w:rPr>
          <w:sz w:val="22"/>
          <w:lang w:val="cs-CZ" w:eastAsia="en-US"/>
        </w:rPr>
        <w:t xml:space="preserve">kryteria stanowić będzie ogólną liczbę punktów jaką uzyskała </w:t>
      </w:r>
      <w:r w:rsidR="009C588F">
        <w:rPr>
          <w:sz w:val="22"/>
          <w:lang w:val="cs-CZ" w:eastAsia="en-US"/>
        </w:rPr>
        <w:t xml:space="preserve">    </w:t>
      </w:r>
      <w:r w:rsidR="009C588F">
        <w:rPr>
          <w:sz w:val="22"/>
          <w:lang w:val="cs-CZ" w:eastAsia="en-US"/>
        </w:rPr>
        <w:br/>
        <w:t xml:space="preserve">  </w:t>
      </w:r>
      <w:r w:rsidRPr="009C588F">
        <w:rPr>
          <w:sz w:val="22"/>
          <w:lang w:val="cs-CZ" w:eastAsia="en-US"/>
        </w:rPr>
        <w:t>oferta danego Wykonawcy.</w:t>
      </w:r>
    </w:p>
    <w:p w:rsidR="009F69EA" w:rsidRPr="00A703F5" w:rsidRDefault="009C588F" w:rsidP="00A35A7A">
      <w:pPr>
        <w:spacing w:after="0" w:line="360" w:lineRule="auto"/>
        <w:ind w:left="709"/>
        <w:jc w:val="both"/>
        <w:rPr>
          <w:sz w:val="22"/>
          <w:lang w:val="cs-CZ" w:eastAsia="en-US"/>
        </w:rPr>
      </w:pPr>
      <w:r>
        <w:rPr>
          <w:sz w:val="22"/>
          <w:lang w:val="cs-CZ" w:eastAsia="en-US"/>
        </w:rPr>
        <w:t xml:space="preserve">     </w:t>
      </w:r>
      <w:r w:rsidR="009F69EA" w:rsidRPr="00A703F5">
        <w:rPr>
          <w:sz w:val="22"/>
          <w:lang w:val="cs-CZ" w:eastAsia="en-US"/>
        </w:rPr>
        <w:t xml:space="preserve">Jako najkorzystniejsza zostanie wybrana oferta, która uzyska największą liczbę punktów </w:t>
      </w:r>
      <w:r>
        <w:rPr>
          <w:sz w:val="22"/>
          <w:lang w:val="cs-CZ" w:eastAsia="en-US"/>
        </w:rPr>
        <w:t xml:space="preserve">    </w:t>
      </w:r>
      <w:r>
        <w:rPr>
          <w:sz w:val="22"/>
          <w:lang w:val="cs-CZ" w:eastAsia="en-US"/>
        </w:rPr>
        <w:br/>
        <w:t xml:space="preserve">     </w:t>
      </w:r>
      <w:r w:rsidR="009F69EA" w:rsidRPr="00A703F5">
        <w:rPr>
          <w:sz w:val="22"/>
          <w:lang w:val="cs-CZ" w:eastAsia="en-US"/>
        </w:rPr>
        <w:t>spośród ofert nie podlegających odrzuceniu.</w:t>
      </w:r>
    </w:p>
    <w:p w:rsidR="009F69EA" w:rsidRDefault="00523DC9" w:rsidP="00523DC9">
      <w:pPr>
        <w:pStyle w:val="Akapitzlist"/>
        <w:numPr>
          <w:ilvl w:val="0"/>
          <w:numId w:val="22"/>
        </w:numPr>
        <w:spacing w:after="0" w:line="360" w:lineRule="auto"/>
        <w:ind w:left="904" w:hanging="195"/>
        <w:jc w:val="both"/>
        <w:rPr>
          <w:sz w:val="22"/>
        </w:rPr>
      </w:pPr>
      <w:r>
        <w:rPr>
          <w:sz w:val="22"/>
        </w:rPr>
        <w:t xml:space="preserve"> </w:t>
      </w:r>
      <w:r w:rsidR="009F69EA" w:rsidRPr="00DB32FB">
        <w:rPr>
          <w:sz w:val="22"/>
        </w:rPr>
        <w:t xml:space="preserve">Jeżeli nie można wybrać najkorzystniejszej oferty z uwagi na to, że dwie lub więcej ofert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9F69EA" w:rsidRPr="00DB32FB">
        <w:rPr>
          <w:sz w:val="22"/>
        </w:rPr>
        <w:t>p</w:t>
      </w:r>
      <w:r w:rsidR="000304D2">
        <w:rPr>
          <w:sz w:val="22"/>
        </w:rPr>
        <w:t xml:space="preserve">rzedstawia taki sam bilans ceny </w:t>
      </w:r>
      <w:r w:rsidR="009F69EA" w:rsidRPr="00DB32FB">
        <w:rPr>
          <w:sz w:val="22"/>
        </w:rPr>
        <w:t xml:space="preserve">i innych kryteriów oceny ofert, Zamawiający wybiera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9F69EA" w:rsidRPr="00DB32FB">
        <w:rPr>
          <w:sz w:val="22"/>
        </w:rPr>
        <w:t>spośród tych ofert ofertę, która otrzymała najwyższą</w:t>
      </w:r>
      <w:r w:rsidR="000304D2">
        <w:rPr>
          <w:sz w:val="22"/>
        </w:rPr>
        <w:t xml:space="preserve"> ocenę w kryterium o najwyższej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9F69EA" w:rsidRPr="00DB32FB">
        <w:rPr>
          <w:sz w:val="22"/>
        </w:rPr>
        <w:t>wadze.</w:t>
      </w:r>
    </w:p>
    <w:p w:rsidR="009F69EA" w:rsidRPr="00523DC9" w:rsidRDefault="00523DC9" w:rsidP="00523DC9">
      <w:pPr>
        <w:pStyle w:val="Akapitzlist"/>
        <w:numPr>
          <w:ilvl w:val="0"/>
          <w:numId w:val="22"/>
        </w:numPr>
        <w:spacing w:after="0" w:line="360" w:lineRule="auto"/>
        <w:ind w:left="904" w:hanging="195"/>
        <w:jc w:val="both"/>
        <w:rPr>
          <w:sz w:val="22"/>
        </w:rPr>
      </w:pPr>
      <w:r>
        <w:rPr>
          <w:sz w:val="22"/>
        </w:rPr>
        <w:t xml:space="preserve"> </w:t>
      </w:r>
      <w:r w:rsidR="009F69EA" w:rsidRPr="00523DC9">
        <w:rPr>
          <w:sz w:val="22"/>
        </w:rPr>
        <w:t>Jeżeli oferty otrzymały taką samą ocenę w kryterium o najwyższej wadze, Zamawiający</w:t>
      </w:r>
      <w:r>
        <w:rPr>
          <w:sz w:val="22"/>
        </w:rPr>
        <w:t xml:space="preserve"> </w:t>
      </w:r>
      <w:r w:rsidR="009F69EA" w:rsidRPr="00523DC9"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0304D2" w:rsidRPr="00523DC9">
        <w:rPr>
          <w:sz w:val="22"/>
        </w:rPr>
        <w:t xml:space="preserve">wybiera ofertę z najniższą ceną. </w:t>
      </w:r>
    </w:p>
    <w:p w:rsidR="009F69EA" w:rsidRPr="00DB32FB" w:rsidRDefault="00523DC9" w:rsidP="00523DC9">
      <w:pPr>
        <w:pStyle w:val="Akapitzlist"/>
        <w:numPr>
          <w:ilvl w:val="0"/>
          <w:numId w:val="22"/>
        </w:numPr>
        <w:spacing w:before="26" w:after="0" w:line="360" w:lineRule="auto"/>
        <w:ind w:left="892" w:hanging="183"/>
        <w:jc w:val="both"/>
        <w:rPr>
          <w:sz w:val="22"/>
        </w:rPr>
      </w:pPr>
      <w:r>
        <w:rPr>
          <w:sz w:val="22"/>
        </w:rPr>
        <w:t xml:space="preserve"> </w:t>
      </w:r>
      <w:r w:rsidR="009F69EA" w:rsidRPr="00DB32FB">
        <w:rPr>
          <w:sz w:val="22"/>
        </w:rPr>
        <w:t xml:space="preserve">Jeżeli nie można dokonać wyboru oferty w sposób, o którym mowa w ust. </w:t>
      </w:r>
      <w:r w:rsidR="009F69EA">
        <w:rPr>
          <w:sz w:val="22"/>
        </w:rPr>
        <w:t>5</w:t>
      </w:r>
      <w:r w:rsidR="009F69EA" w:rsidRPr="00DB32FB">
        <w:rPr>
          <w:sz w:val="22"/>
        </w:rPr>
        <w:t xml:space="preserve">, Zamawiający </w:t>
      </w:r>
      <w:r>
        <w:rPr>
          <w:sz w:val="22"/>
        </w:rPr>
        <w:br/>
        <w:t xml:space="preserve"> </w:t>
      </w:r>
      <w:r w:rsidR="009F69EA" w:rsidRPr="00DB32FB">
        <w:rPr>
          <w:sz w:val="22"/>
        </w:rPr>
        <w:t xml:space="preserve">wzywa Wykonawców, którzy złożyli te oferty, do złożenia w terminie określonym </w:t>
      </w:r>
      <w:r w:rsidR="009C588F">
        <w:rPr>
          <w:sz w:val="22"/>
        </w:rPr>
        <w:br/>
        <w:t xml:space="preserve"> przez </w:t>
      </w:r>
      <w:r w:rsidR="009F69EA" w:rsidRPr="00DB32FB">
        <w:rPr>
          <w:sz w:val="22"/>
        </w:rPr>
        <w:t>Zamawiającego ofert doda</w:t>
      </w:r>
      <w:r w:rsidR="007E0D42">
        <w:rPr>
          <w:sz w:val="22"/>
        </w:rPr>
        <w:t xml:space="preserve">tkowych zawierających nową cenę. </w:t>
      </w:r>
    </w:p>
    <w:p w:rsidR="009F69EA" w:rsidRPr="00DB32FB" w:rsidRDefault="009F69EA" w:rsidP="00523DC9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ind w:left="851" w:hanging="142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523DC9">
        <w:rPr>
          <w:sz w:val="22"/>
        </w:rPr>
        <w:t xml:space="preserve">odatkowe, nie mogą oferować cen </w:t>
      </w:r>
      <w:r w:rsidRPr="00DB32FB">
        <w:rPr>
          <w:sz w:val="22"/>
        </w:rPr>
        <w:t xml:space="preserve">wyższych </w:t>
      </w:r>
      <w:r w:rsidR="00F76388">
        <w:rPr>
          <w:sz w:val="22"/>
        </w:rPr>
        <w:br/>
        <w:t xml:space="preserve">  niż </w:t>
      </w:r>
      <w:r w:rsidRPr="00DB32FB">
        <w:rPr>
          <w:sz w:val="22"/>
        </w:rPr>
        <w:t>zaoferowane w uprzednio złożonych przez nich ofertach.</w:t>
      </w:r>
    </w:p>
    <w:p w:rsidR="003F2F74" w:rsidRPr="00523DC9" w:rsidRDefault="003F2F74" w:rsidP="00523DC9">
      <w:pPr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FORMALNOŚCIACH, JAKIE MUSZĄ ZOSTAĆ DOPEŁNIONE </w:t>
      </w:r>
      <w:r w:rsidR="009C588F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>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523DC9">
      <w:pPr>
        <w:pStyle w:val="Akapitzlist"/>
        <w:numPr>
          <w:ilvl w:val="0"/>
          <w:numId w:val="30"/>
        </w:numPr>
        <w:spacing w:before="26" w:after="0" w:line="360" w:lineRule="auto"/>
        <w:ind w:hanging="371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015C4D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</w:t>
      </w:r>
      <w:proofErr w:type="spellStart"/>
      <w:r w:rsidRPr="0015264D">
        <w:rPr>
          <w:color w:val="000000"/>
          <w:sz w:val="22"/>
        </w:rPr>
        <w:t>Pz</w:t>
      </w:r>
      <w:r>
        <w:rPr>
          <w:color w:val="000000"/>
          <w:sz w:val="22"/>
        </w:rPr>
        <w:t>p</w:t>
      </w:r>
      <w:proofErr w:type="spellEnd"/>
      <w:r>
        <w:rPr>
          <w:color w:val="000000"/>
          <w:sz w:val="22"/>
        </w:rPr>
        <w:t>, w terminie nie krótszym niż 10</w:t>
      </w:r>
      <w:r w:rsidRPr="0015264D">
        <w:rPr>
          <w:color w:val="000000"/>
          <w:sz w:val="22"/>
        </w:rPr>
        <w:t xml:space="preserve"> dni od dnia przesłania zawiadomienia </w:t>
      </w:r>
      <w:r w:rsidRPr="0015264D">
        <w:rPr>
          <w:color w:val="000000"/>
          <w:sz w:val="22"/>
        </w:rPr>
        <w:lastRenderedPageBreak/>
        <w:t>o wyborze najkorzystniejszej oferty, jeżeli zawiadomienie to zostało przesłane przy użyciu środków komunikacji elektronicznej.</w:t>
      </w:r>
    </w:p>
    <w:p w:rsidR="000F2DCA" w:rsidRPr="00072649" w:rsidRDefault="000F2DCA" w:rsidP="00AD62E7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AD62E7">
      <w:pPr>
        <w:pStyle w:val="Tekstpodstawowywcity2"/>
        <w:numPr>
          <w:ilvl w:val="0"/>
          <w:numId w:val="3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C00C07" w:rsidRPr="00015C4D" w:rsidRDefault="00C00C07" w:rsidP="00015C4D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</w:t>
      </w:r>
      <w:r w:rsidR="00015C4D">
        <w:rPr>
          <w:b/>
          <w:color w:val="000000"/>
          <w:sz w:val="22"/>
        </w:rPr>
        <w:t xml:space="preserve"> SPRAWIE ZAMÓWIENIA PUBLICZNEGO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AD62E7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015C4D">
        <w:rPr>
          <w:sz w:val="22"/>
        </w:rPr>
        <w:br/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="009C588F">
        <w:rPr>
          <w:sz w:val="22"/>
        </w:rPr>
        <w:t>załącznik nr 4</w:t>
      </w:r>
      <w:r w:rsidR="00900615" w:rsidRPr="00015C4D">
        <w:rPr>
          <w:sz w:val="22"/>
        </w:rPr>
        <w:t xml:space="preserve"> </w:t>
      </w:r>
      <w:r w:rsidR="00900615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9F1D25" w:rsidRPr="00A703F5" w:rsidRDefault="009F1D25" w:rsidP="00AD62E7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AD62E7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AD62E7">
      <w:pPr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CA4B13">
        <w:rPr>
          <w:sz w:val="22"/>
        </w:rPr>
        <w:t>wiedzialność za wykonanie umowy</w:t>
      </w:r>
      <w:r>
        <w:rPr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F76388">
        <w:rPr>
          <w:b/>
          <w:color w:val="000000"/>
          <w:sz w:val="22"/>
        </w:rPr>
        <w:t>AWNEJ PRZYSŁUGUJĄCYCH WYKONAWCY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AD62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9F1D25" w:rsidRPr="003A6C50" w:rsidRDefault="009F1D25" w:rsidP="00AD62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AD62E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015C4D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9F1D25" w:rsidRPr="003A6C50" w:rsidRDefault="009F1D25" w:rsidP="00AD62E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AD62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AD62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9F1D25" w:rsidRPr="003A6C50" w:rsidRDefault="009F1D25" w:rsidP="00AD62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AD62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AD62E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3A6C50">
        <w:rPr>
          <w:sz w:val="22"/>
        </w:rPr>
        <w:t>Pzp</w:t>
      </w:r>
      <w:proofErr w:type="spellEnd"/>
      <w:r w:rsidRPr="003A6C50">
        <w:rPr>
          <w:sz w:val="22"/>
        </w:rPr>
        <w:t xml:space="preserve">. </w:t>
      </w:r>
    </w:p>
    <w:p w:rsidR="001F21CD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F76388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F76388">
      <w:pPr>
        <w:pStyle w:val="Akapitzlist"/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</w:t>
      </w:r>
      <w:r w:rsidR="00015C4D">
        <w:rPr>
          <w:sz w:val="20"/>
          <w:szCs w:val="20"/>
        </w:rPr>
        <w:t>ch jest Województwo Warmińsko-</w:t>
      </w:r>
      <w:r w:rsidRPr="00DB0C1E">
        <w:rPr>
          <w:sz w:val="20"/>
          <w:szCs w:val="20"/>
        </w:rPr>
        <w:t>Mazurskie</w:t>
      </w:r>
      <w:r w:rsidR="00015C4D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015C4D">
        <w:rPr>
          <w:sz w:val="20"/>
          <w:szCs w:val="20"/>
        </w:rPr>
        <w:t xml:space="preserve">; </w:t>
      </w:r>
    </w:p>
    <w:p w:rsidR="000706F4" w:rsidRPr="00DB0C1E" w:rsidRDefault="000706F4" w:rsidP="00F76388">
      <w:pPr>
        <w:pStyle w:val="Akapitzlist"/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 xml:space="preserve">dministrator powołał Inspektora Ochrony Danych, z którym kontakt jest możliwy pod adresem email: </w:t>
      </w:r>
      <w:hyperlink r:id="rId16" w:history="1">
        <w:r w:rsidR="00015C4D" w:rsidRPr="00015C4D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015C4D">
        <w:rPr>
          <w:sz w:val="20"/>
          <w:szCs w:val="20"/>
        </w:rPr>
        <w:t xml:space="preserve"> ;</w:t>
      </w:r>
    </w:p>
    <w:p w:rsidR="000706F4" w:rsidRDefault="000706F4" w:rsidP="00F76388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przetwarzane będą na podst</w:t>
      </w:r>
      <w:r w:rsidR="00F76388">
        <w:rPr>
          <w:sz w:val="20"/>
          <w:szCs w:val="20"/>
        </w:rPr>
        <w:t xml:space="preserve">awie art. 6 ust. 1 lit. c RODO w </w:t>
      </w:r>
      <w:r w:rsidRPr="00DB0C1E">
        <w:rPr>
          <w:sz w:val="20"/>
          <w:szCs w:val="20"/>
        </w:rPr>
        <w:t>celu związanym</w:t>
      </w:r>
      <w:r w:rsidR="00F76388">
        <w:rPr>
          <w:sz w:val="20"/>
          <w:szCs w:val="20"/>
        </w:rPr>
        <w:t xml:space="preserve"> </w:t>
      </w:r>
      <w:r w:rsidR="00F76388">
        <w:rPr>
          <w:sz w:val="20"/>
          <w:szCs w:val="20"/>
        </w:rPr>
        <w:br/>
        <w:t xml:space="preserve">z postępowaniem o udzielenie </w:t>
      </w:r>
      <w:r w:rsidRPr="00DB0C1E">
        <w:rPr>
          <w:sz w:val="20"/>
          <w:szCs w:val="20"/>
        </w:rPr>
        <w:t>zamówienia publicznego</w:t>
      </w:r>
      <w:r w:rsidR="00F76388">
        <w:rPr>
          <w:sz w:val="20"/>
          <w:szCs w:val="20"/>
        </w:rPr>
        <w:t xml:space="preserve"> </w:t>
      </w:r>
      <w:r w:rsidR="00F76388" w:rsidRPr="00917D78">
        <w:rPr>
          <w:sz w:val="20"/>
          <w:szCs w:val="20"/>
        </w:rPr>
        <w:t>(</w:t>
      </w:r>
      <w:r w:rsidR="00F76388">
        <w:rPr>
          <w:b/>
          <w:sz w:val="20"/>
          <w:szCs w:val="20"/>
        </w:rPr>
        <w:t>ZP.272.1.22</w:t>
      </w:r>
      <w:r w:rsidR="00F76388" w:rsidRPr="00917D78">
        <w:rPr>
          <w:b/>
          <w:sz w:val="20"/>
          <w:szCs w:val="20"/>
        </w:rPr>
        <w:t>.</w:t>
      </w:r>
      <w:r w:rsidR="00F76388">
        <w:rPr>
          <w:b/>
          <w:sz w:val="20"/>
          <w:szCs w:val="20"/>
        </w:rPr>
        <w:t>2023 Dostawa monitorów</w:t>
      </w:r>
      <w:r w:rsidR="00F76388" w:rsidRPr="00311486">
        <w:rPr>
          <w:sz w:val="20"/>
          <w:szCs w:val="20"/>
        </w:rPr>
        <w:t xml:space="preserve">)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 w:rsidR="00F76388">
        <w:rPr>
          <w:b/>
          <w:sz w:val="20"/>
          <w:szCs w:val="20"/>
        </w:rPr>
        <w:t>przetargu nieograniczonego</w:t>
      </w:r>
      <w:r w:rsidR="00F76388">
        <w:rPr>
          <w:sz w:val="20"/>
          <w:szCs w:val="20"/>
        </w:rPr>
        <w:t xml:space="preserve">. </w:t>
      </w:r>
    </w:p>
    <w:p w:rsidR="000706F4" w:rsidRPr="00DB0C1E" w:rsidRDefault="000706F4" w:rsidP="00F76388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DE76B8">
        <w:rPr>
          <w:sz w:val="20"/>
          <w:szCs w:val="20"/>
        </w:rPr>
        <w:t>m</w:t>
      </w:r>
      <w:r w:rsidR="00F76388">
        <w:rPr>
          <w:sz w:val="20"/>
          <w:szCs w:val="20"/>
        </w:rPr>
        <w:t xml:space="preserve">ówień publicznych (Dz. U. z 2022 r. </w:t>
      </w:r>
      <w:r w:rsidRPr="00DB0C1E">
        <w:rPr>
          <w:sz w:val="20"/>
          <w:szCs w:val="20"/>
        </w:rPr>
        <w:t xml:space="preserve">poz. </w:t>
      </w:r>
      <w:r w:rsidR="00F76388">
        <w:rPr>
          <w:sz w:val="20"/>
          <w:szCs w:val="20"/>
        </w:rPr>
        <w:t>1710</w:t>
      </w:r>
      <w:r w:rsidRPr="00DB0C1E">
        <w:rPr>
          <w:sz w:val="20"/>
          <w:szCs w:val="20"/>
        </w:rPr>
        <w:t xml:space="preserve"> ze</w:t>
      </w:r>
      <w:r w:rsidR="009C588F">
        <w:rPr>
          <w:sz w:val="20"/>
          <w:szCs w:val="20"/>
        </w:rPr>
        <w:t xml:space="preserve"> zm.), zwanej dalej ustawą </w:t>
      </w:r>
      <w:proofErr w:type="spellStart"/>
      <w:r w:rsidR="009C588F">
        <w:rPr>
          <w:sz w:val="20"/>
          <w:szCs w:val="20"/>
        </w:rPr>
        <w:t>Pzp</w:t>
      </w:r>
      <w:proofErr w:type="spellEnd"/>
      <w:r w:rsidR="009C588F">
        <w:rPr>
          <w:sz w:val="20"/>
          <w:szCs w:val="20"/>
        </w:rPr>
        <w:t>;</w:t>
      </w:r>
    </w:p>
    <w:p w:rsidR="000706F4" w:rsidRPr="00D60EDE" w:rsidRDefault="000706F4" w:rsidP="00F76388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F76388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F76388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F76388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0706F4" w:rsidRPr="006B4434" w:rsidRDefault="000706F4" w:rsidP="00F76388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F76388">
        <w:rPr>
          <w:sz w:val="20"/>
          <w:szCs w:val="20"/>
        </w:rPr>
        <w:t>(</w:t>
      </w:r>
      <w:r w:rsidRPr="006B4434">
        <w:rPr>
          <w:sz w:val="20"/>
          <w:szCs w:val="20"/>
        </w:rPr>
        <w:t>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F76388">
      <w:pPr>
        <w:numPr>
          <w:ilvl w:val="0"/>
          <w:numId w:val="2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</w:t>
      </w:r>
      <w:r w:rsidR="00F76388">
        <w:rPr>
          <w:sz w:val="20"/>
          <w:szCs w:val="20"/>
        </w:rPr>
        <w:t xml:space="preserve">enia w </w:t>
      </w:r>
      <w:r w:rsidRPr="00DB0C1E">
        <w:rPr>
          <w:sz w:val="20"/>
          <w:szCs w:val="20"/>
        </w:rPr>
        <w:t>Urzędzie Marszałkowskim Województwa Warmińsko</w:t>
      </w:r>
      <w:r w:rsidR="00F76388">
        <w:rPr>
          <w:sz w:val="20"/>
          <w:szCs w:val="20"/>
        </w:rPr>
        <w:t>-</w:t>
      </w:r>
      <w:r w:rsidRPr="00DB0C1E">
        <w:rPr>
          <w:sz w:val="20"/>
          <w:szCs w:val="20"/>
        </w:rPr>
        <w:t>Maz</w:t>
      </w:r>
      <w:r w:rsidR="006E3F09">
        <w:rPr>
          <w:sz w:val="20"/>
          <w:szCs w:val="20"/>
        </w:rPr>
        <w:t xml:space="preserve">urskiego czynności kontrolnych </w:t>
      </w:r>
      <w:r w:rsidRPr="00DB0C1E">
        <w:rPr>
          <w:sz w:val="20"/>
          <w:szCs w:val="20"/>
        </w:rPr>
        <w:t>i audytowych (n</w:t>
      </w:r>
      <w:r w:rsidR="00F76388">
        <w:rPr>
          <w:sz w:val="20"/>
          <w:szCs w:val="20"/>
        </w:rPr>
        <w:t xml:space="preserve">p. </w:t>
      </w:r>
      <w:r w:rsidR="006E3F09">
        <w:rPr>
          <w:sz w:val="20"/>
          <w:szCs w:val="20"/>
        </w:rPr>
        <w:t xml:space="preserve">Urząd Zamówień Publicznych, Krajowa </w:t>
      </w:r>
      <w:r w:rsidRPr="00DB0C1E">
        <w:rPr>
          <w:sz w:val="20"/>
          <w:szCs w:val="20"/>
        </w:rPr>
        <w:t>Izba Odwoławcza,</w:t>
      </w:r>
      <w:r w:rsidR="006E3F09">
        <w:rPr>
          <w:sz w:val="20"/>
          <w:szCs w:val="20"/>
        </w:rPr>
        <w:t xml:space="preserve"> Regionalna Izba Obrachunkowa, </w:t>
      </w:r>
      <w:r w:rsidRPr="00DB0C1E">
        <w:rPr>
          <w:sz w:val="20"/>
          <w:szCs w:val="20"/>
        </w:rPr>
        <w:t xml:space="preserve">Najwyższa Izba Kontroli, Krajowa Administracja Skarbowa), </w:t>
      </w:r>
    </w:p>
    <w:p w:rsidR="000706F4" w:rsidRPr="001E13ED" w:rsidRDefault="000706F4" w:rsidP="00F76388">
      <w:pPr>
        <w:numPr>
          <w:ilvl w:val="0"/>
          <w:numId w:val="27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</w:t>
      </w:r>
      <w:r w:rsidR="00F76388">
        <w:rPr>
          <w:color w:val="000000"/>
          <w:sz w:val="20"/>
          <w:szCs w:val="20"/>
        </w:rPr>
        <w:br/>
      </w:r>
      <w:r w:rsidR="009C588F">
        <w:rPr>
          <w:color w:val="000000"/>
          <w:sz w:val="20"/>
          <w:szCs w:val="20"/>
        </w:rPr>
        <w:t>art. 28 ust. 3 RODO;</w:t>
      </w:r>
    </w:p>
    <w:p w:rsidR="000706F4" w:rsidRPr="009C588F" w:rsidRDefault="000706F4" w:rsidP="00AD62E7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C588F">
        <w:rPr>
          <w:sz w:val="20"/>
          <w:szCs w:val="20"/>
        </w:rPr>
        <w:t>dane osobowe będą przechowywane przez 4 lata od dnia zakończenia postępowania, j</w:t>
      </w:r>
      <w:r w:rsidRPr="009C588F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C588F">
        <w:rPr>
          <w:sz w:val="20"/>
          <w:szCs w:val="20"/>
        </w:rPr>
        <w:t xml:space="preserve">a następnie przez okres zgodny </w:t>
      </w:r>
      <w:r w:rsidR="00F76388" w:rsidRPr="009C588F">
        <w:rPr>
          <w:sz w:val="20"/>
          <w:szCs w:val="20"/>
        </w:rPr>
        <w:br/>
      </w:r>
      <w:r w:rsidRPr="009C588F">
        <w:rPr>
          <w:sz w:val="20"/>
          <w:szCs w:val="20"/>
        </w:rPr>
        <w:lastRenderedPageBreak/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F76388" w:rsidRPr="009C588F">
        <w:rPr>
          <w:sz w:val="20"/>
          <w:szCs w:val="20"/>
        </w:rPr>
        <w:t xml:space="preserve"> działania archiwów zakładowych; </w:t>
      </w:r>
    </w:p>
    <w:p w:rsidR="000706F4" w:rsidRPr="00DB0C1E" w:rsidRDefault="000706F4" w:rsidP="00AD62E7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>jak również prawo żądania ich sprostowania** l</w:t>
      </w:r>
      <w:r w:rsidR="00F76388">
        <w:rPr>
          <w:sz w:val="20"/>
          <w:szCs w:val="20"/>
        </w:rPr>
        <w:t xml:space="preserve">ub ograniczenia przetwarzania, </w:t>
      </w:r>
      <w:r w:rsidRPr="00DB0C1E">
        <w:rPr>
          <w:sz w:val="20"/>
          <w:szCs w:val="20"/>
        </w:rPr>
        <w:t>z zastrzeżeniem przypadków, o których</w:t>
      </w:r>
      <w:r w:rsidR="00F76388">
        <w:rPr>
          <w:sz w:val="20"/>
          <w:szCs w:val="20"/>
        </w:rPr>
        <w:t xml:space="preserve"> mowa w art. 18 ust. 2 RODO***; </w:t>
      </w:r>
    </w:p>
    <w:p w:rsidR="000706F4" w:rsidRPr="00DB0C1E" w:rsidRDefault="000706F4" w:rsidP="00AD62E7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C588F">
        <w:rPr>
          <w:sz w:val="20"/>
          <w:szCs w:val="20"/>
        </w:rPr>
        <w:t xml:space="preserve">jeżeli uważa Pani/Pan, że przetwarzanie danych osobowych narusza przepisy o ochronie danych osobowych, </w:t>
      </w:r>
      <w:r w:rsidRPr="00DB0C1E">
        <w:rPr>
          <w:sz w:val="20"/>
          <w:szCs w:val="20"/>
        </w:rPr>
        <w:t xml:space="preserve">ma Pani/Pan prawo wnieść skargę do organu nadzorczego, tj. Prezesa </w:t>
      </w:r>
      <w:r w:rsidR="00F76388">
        <w:rPr>
          <w:sz w:val="20"/>
          <w:szCs w:val="20"/>
        </w:rPr>
        <w:t>Urzędu Ochrony Danych Osobowych;</w:t>
      </w:r>
    </w:p>
    <w:p w:rsidR="000706F4" w:rsidRPr="00DB0C1E" w:rsidRDefault="00F76388" w:rsidP="00AD62E7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0706F4" w:rsidRPr="00DB0C1E">
        <w:rPr>
          <w:sz w:val="20"/>
          <w:szCs w:val="20"/>
        </w:rPr>
        <w:t xml:space="preserve">bowiązek podania przez Panią/Pana danych osobowych bezpośrednio Pani/Pana dotyczących </w:t>
      </w:r>
      <w:r w:rsidR="009C588F">
        <w:rPr>
          <w:sz w:val="20"/>
          <w:szCs w:val="20"/>
        </w:rPr>
        <w:br/>
      </w:r>
      <w:r w:rsidR="000706F4" w:rsidRPr="00DB0C1E">
        <w:rPr>
          <w:sz w:val="20"/>
          <w:szCs w:val="20"/>
        </w:rPr>
        <w:t xml:space="preserve">jest wymogiem ustawowym określonym w przepisach ustawy </w:t>
      </w:r>
      <w:proofErr w:type="spellStart"/>
      <w:r w:rsidR="000706F4" w:rsidRPr="00DB0C1E">
        <w:rPr>
          <w:sz w:val="20"/>
          <w:szCs w:val="20"/>
        </w:rPr>
        <w:t>Pzp</w:t>
      </w:r>
      <w:proofErr w:type="spellEnd"/>
      <w:r w:rsidR="000706F4" w:rsidRPr="00DB0C1E">
        <w:rPr>
          <w:sz w:val="20"/>
          <w:szCs w:val="20"/>
        </w:rPr>
        <w:t xml:space="preserve">, związanym z udziałem </w:t>
      </w:r>
      <w:r w:rsidR="000706F4"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="000706F4" w:rsidRPr="00DB0C1E">
        <w:rPr>
          <w:sz w:val="20"/>
          <w:szCs w:val="20"/>
        </w:rPr>
        <w:t>Pzp</w:t>
      </w:r>
      <w:proofErr w:type="spellEnd"/>
      <w:r w:rsidR="000706F4" w:rsidRPr="00DB0C1E">
        <w:rPr>
          <w:sz w:val="20"/>
          <w:szCs w:val="20"/>
        </w:rPr>
        <w:t xml:space="preserve">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</w:t>
      </w:r>
      <w:r w:rsidR="009C588F">
        <w:rPr>
          <w:sz w:val="20"/>
          <w:szCs w:val="20"/>
        </w:rPr>
        <w:t xml:space="preserve">any, stosowanie do art. 22 RODO; </w:t>
      </w:r>
    </w:p>
    <w:p w:rsidR="000706F4" w:rsidRPr="00DB0C1E" w:rsidRDefault="00F76388" w:rsidP="00AD62E7">
      <w:pPr>
        <w:numPr>
          <w:ilvl w:val="0"/>
          <w:numId w:val="2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706F4" w:rsidRPr="00DB0C1E">
        <w:rPr>
          <w:sz w:val="20"/>
          <w:szCs w:val="20"/>
        </w:rPr>
        <w:t>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AD62E7">
      <w:pPr>
        <w:pStyle w:val="Akapitzlist"/>
        <w:numPr>
          <w:ilvl w:val="0"/>
          <w:numId w:val="2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</w:t>
      </w:r>
      <w:r w:rsidR="009C588F">
        <w:rPr>
          <w:sz w:val="20"/>
          <w:szCs w:val="20"/>
        </w:rPr>
        <w:t>o do usunięcia danych osobowych,</w:t>
      </w:r>
    </w:p>
    <w:p w:rsidR="000706F4" w:rsidRPr="0029086A" w:rsidRDefault="000706F4" w:rsidP="00AD62E7">
      <w:pPr>
        <w:pStyle w:val="Akapitzlist"/>
        <w:numPr>
          <w:ilvl w:val="0"/>
          <w:numId w:val="28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</w:t>
      </w:r>
      <w:r w:rsidR="009C588F">
        <w:rPr>
          <w:sz w:val="20"/>
          <w:szCs w:val="20"/>
        </w:rPr>
        <w:t>h, o którym mowa w art. 20 RODO,</w:t>
      </w:r>
    </w:p>
    <w:p w:rsidR="000706F4" w:rsidRPr="0029086A" w:rsidRDefault="000706F4" w:rsidP="00AD62E7">
      <w:pPr>
        <w:pStyle w:val="Akapitzlist"/>
        <w:numPr>
          <w:ilvl w:val="0"/>
          <w:numId w:val="2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F76388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F76388">
      <w:pPr>
        <w:pStyle w:val="Akapitzlist"/>
        <w:numPr>
          <w:ilvl w:val="0"/>
          <w:numId w:val="2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F76388">
      <w:pPr>
        <w:pStyle w:val="Akapitzlist"/>
        <w:numPr>
          <w:ilvl w:val="0"/>
          <w:numId w:val="2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F76388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</w:t>
      </w:r>
      <w:r w:rsidR="006E3F09">
        <w:rPr>
          <w:sz w:val="20"/>
          <w:szCs w:val="20"/>
        </w:rPr>
        <w:br/>
      </w:r>
      <w:r w:rsidRPr="00D60EDE">
        <w:rPr>
          <w:sz w:val="20"/>
          <w:szCs w:val="20"/>
        </w:rPr>
        <w:t xml:space="preserve">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F76388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F76388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</w:t>
      </w:r>
      <w:r w:rsidR="006E3F09">
        <w:rPr>
          <w:sz w:val="20"/>
          <w:szCs w:val="20"/>
        </w:rPr>
        <w:br/>
      </w:r>
      <w:r w:rsidRPr="00C77E76">
        <w:rPr>
          <w:sz w:val="20"/>
          <w:szCs w:val="20"/>
        </w:rPr>
        <w:t xml:space="preserve">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F76388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F76388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F76388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0706F4" w:rsidRDefault="000706F4" w:rsidP="00F76388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1F21CD" w:rsidRPr="006E3F09" w:rsidRDefault="000706F4" w:rsidP="006E3F09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>o zamówieniu lub dokumentac</w:t>
      </w:r>
      <w:r w:rsidR="006E3F09">
        <w:rPr>
          <w:sz w:val="20"/>
          <w:szCs w:val="20"/>
        </w:rPr>
        <w:t xml:space="preserve">h zamówienia zgodnie z art. 18 ust. </w:t>
      </w:r>
      <w:r w:rsidRPr="00332014">
        <w:rPr>
          <w:sz w:val="20"/>
          <w:szCs w:val="20"/>
        </w:rPr>
        <w:t xml:space="preserve">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>i Rady (UE) 2016/679 z dnia 27 kwietnia 2016 r. w sprawie och</w:t>
      </w:r>
      <w:r w:rsidR="006E3F09">
        <w:rPr>
          <w:sz w:val="20"/>
          <w:szCs w:val="20"/>
        </w:rPr>
        <w:t xml:space="preserve">rony osób fizycznych w związku </w:t>
      </w:r>
      <w:r w:rsidRPr="00332014"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</w:t>
      </w:r>
      <w:r w:rsidR="006E3F09">
        <w:rPr>
          <w:sz w:val="20"/>
          <w:szCs w:val="20"/>
        </w:rPr>
        <w:t xml:space="preserve">UE L 119 z 04.05.2016, str. 1, </w:t>
      </w:r>
      <w:r w:rsidRPr="00332014">
        <w:rPr>
          <w:sz w:val="20"/>
          <w:szCs w:val="20"/>
        </w:rPr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</w:t>
      </w:r>
      <w:r w:rsidR="006E3F09">
        <w:rPr>
          <w:sz w:val="20"/>
          <w:szCs w:val="20"/>
        </w:rPr>
        <w:br/>
      </w:r>
      <w:r w:rsidRPr="00332014">
        <w:rPr>
          <w:sz w:val="20"/>
          <w:szCs w:val="20"/>
        </w:rPr>
        <w:t xml:space="preserve">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</w:t>
      </w:r>
      <w:r w:rsidR="006E3F09">
        <w:rPr>
          <w:sz w:val="20"/>
          <w:szCs w:val="20"/>
        </w:rPr>
        <w:t xml:space="preserve">pływu terminu na ich wniesienie. </w:t>
      </w:r>
      <w:r w:rsidR="001A5437" w:rsidRPr="008F066A">
        <w:rPr>
          <w:sz w:val="22"/>
        </w:rPr>
        <w:t xml:space="preserve">                                                                                                      </w:t>
      </w:r>
      <w:r w:rsidR="006E3F09">
        <w:rPr>
          <w:sz w:val="22"/>
        </w:rPr>
        <w:t xml:space="preserve">           </w:t>
      </w:r>
    </w:p>
    <w:sectPr w:rsidR="001F21CD" w:rsidRPr="006E3F0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8C" w:rsidRDefault="002E7F8C" w:rsidP="004F2A5C">
      <w:pPr>
        <w:spacing w:after="0" w:line="240" w:lineRule="auto"/>
      </w:pPr>
      <w:r>
        <w:separator/>
      </w:r>
    </w:p>
  </w:endnote>
  <w:endnote w:type="continuationSeparator" w:id="0">
    <w:p w:rsidR="002E7F8C" w:rsidRDefault="002E7F8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FC3DEC" w:rsidRDefault="00FC3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83">
          <w:rPr>
            <w:noProof/>
          </w:rPr>
          <w:t>18</w:t>
        </w:r>
        <w:r>
          <w:fldChar w:fldCharType="end"/>
        </w:r>
      </w:p>
    </w:sdtContent>
  </w:sdt>
  <w:p w:rsidR="00FC3DEC" w:rsidRDefault="00FC3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8C" w:rsidRDefault="002E7F8C" w:rsidP="004F2A5C">
      <w:pPr>
        <w:spacing w:after="0" w:line="240" w:lineRule="auto"/>
      </w:pPr>
      <w:r>
        <w:separator/>
      </w:r>
    </w:p>
  </w:footnote>
  <w:footnote w:type="continuationSeparator" w:id="0">
    <w:p w:rsidR="002E7F8C" w:rsidRDefault="002E7F8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4" w15:restartNumberingAfterBreak="0">
    <w:nsid w:val="612F1CFB"/>
    <w:multiLevelType w:val="hybridMultilevel"/>
    <w:tmpl w:val="9C44467C"/>
    <w:lvl w:ilvl="0" w:tplc="9092D5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5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1"/>
  </w:num>
  <w:num w:numId="3">
    <w:abstractNumId w:val="35"/>
  </w:num>
  <w:num w:numId="4">
    <w:abstractNumId w:val="33"/>
  </w:num>
  <w:num w:numId="5">
    <w:abstractNumId w:val="8"/>
  </w:num>
  <w:num w:numId="6">
    <w:abstractNumId w:val="27"/>
  </w:num>
  <w:num w:numId="7">
    <w:abstractNumId w:val="30"/>
  </w:num>
  <w:num w:numId="8">
    <w:abstractNumId w:val="28"/>
  </w:num>
  <w:num w:numId="9">
    <w:abstractNumId w:val="36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41"/>
  </w:num>
  <w:num w:numId="15">
    <w:abstractNumId w:val="7"/>
  </w:num>
  <w:num w:numId="16">
    <w:abstractNumId w:val="32"/>
  </w:num>
  <w:num w:numId="17">
    <w:abstractNumId w:val="34"/>
  </w:num>
  <w:num w:numId="18">
    <w:abstractNumId w:val="9"/>
  </w:num>
  <w:num w:numId="19">
    <w:abstractNumId w:val="2"/>
  </w:num>
  <w:num w:numId="20">
    <w:abstractNumId w:val="1"/>
  </w:num>
  <w:num w:numId="21">
    <w:abstractNumId w:val="12"/>
  </w:num>
  <w:num w:numId="22">
    <w:abstractNumId w:val="40"/>
  </w:num>
  <w:num w:numId="23">
    <w:abstractNumId w:val="23"/>
  </w:num>
  <w:num w:numId="24">
    <w:abstractNumId w:val="10"/>
  </w:num>
  <w:num w:numId="25">
    <w:abstractNumId w:val="38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</w:num>
  <w:num w:numId="32">
    <w:abstractNumId w:val="24"/>
  </w:num>
  <w:num w:numId="33">
    <w:abstractNumId w:val="6"/>
  </w:num>
  <w:num w:numId="34">
    <w:abstractNumId w:val="15"/>
  </w:num>
  <w:num w:numId="35">
    <w:abstractNumId w:val="39"/>
  </w:num>
  <w:num w:numId="36">
    <w:abstractNumId w:val="44"/>
  </w:num>
  <w:num w:numId="37">
    <w:abstractNumId w:val="21"/>
  </w:num>
  <w:num w:numId="38">
    <w:abstractNumId w:val="5"/>
  </w:num>
  <w:num w:numId="39">
    <w:abstractNumId w:val="0"/>
  </w:num>
  <w:num w:numId="40">
    <w:abstractNumId w:val="16"/>
  </w:num>
  <w:num w:numId="41">
    <w:abstractNumId w:val="43"/>
  </w:num>
  <w:num w:numId="42">
    <w:abstractNumId w:val="37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5C4D"/>
    <w:rsid w:val="000218CE"/>
    <w:rsid w:val="000304D2"/>
    <w:rsid w:val="0003480F"/>
    <w:rsid w:val="00040020"/>
    <w:rsid w:val="00042A30"/>
    <w:rsid w:val="00045777"/>
    <w:rsid w:val="00057589"/>
    <w:rsid w:val="000706F4"/>
    <w:rsid w:val="00072649"/>
    <w:rsid w:val="0009130A"/>
    <w:rsid w:val="000932C0"/>
    <w:rsid w:val="000B369D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5518D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C6761"/>
    <w:rsid w:val="001E1E36"/>
    <w:rsid w:val="001F21CD"/>
    <w:rsid w:val="001F7B18"/>
    <w:rsid w:val="00200A00"/>
    <w:rsid w:val="00221FD0"/>
    <w:rsid w:val="00231C0C"/>
    <w:rsid w:val="00236539"/>
    <w:rsid w:val="002409C3"/>
    <w:rsid w:val="00245193"/>
    <w:rsid w:val="002469BE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2E7F8C"/>
    <w:rsid w:val="00304C22"/>
    <w:rsid w:val="00305230"/>
    <w:rsid w:val="00311E4E"/>
    <w:rsid w:val="00314751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3A6D"/>
    <w:rsid w:val="003A4325"/>
    <w:rsid w:val="003A6BD6"/>
    <w:rsid w:val="003B2B21"/>
    <w:rsid w:val="003B6C5E"/>
    <w:rsid w:val="003C53CB"/>
    <w:rsid w:val="003C5710"/>
    <w:rsid w:val="003C66EF"/>
    <w:rsid w:val="003D65CC"/>
    <w:rsid w:val="003E1CFB"/>
    <w:rsid w:val="003E6F11"/>
    <w:rsid w:val="003F2F74"/>
    <w:rsid w:val="003F791B"/>
    <w:rsid w:val="00410BA6"/>
    <w:rsid w:val="0041323A"/>
    <w:rsid w:val="00420F92"/>
    <w:rsid w:val="004309B9"/>
    <w:rsid w:val="00432D98"/>
    <w:rsid w:val="00442059"/>
    <w:rsid w:val="00450597"/>
    <w:rsid w:val="004600A0"/>
    <w:rsid w:val="00474278"/>
    <w:rsid w:val="004755CE"/>
    <w:rsid w:val="0047571D"/>
    <w:rsid w:val="00480AE1"/>
    <w:rsid w:val="004832DC"/>
    <w:rsid w:val="004913FC"/>
    <w:rsid w:val="004C64B1"/>
    <w:rsid w:val="004E3A54"/>
    <w:rsid w:val="004F0E14"/>
    <w:rsid w:val="004F2A5C"/>
    <w:rsid w:val="004F547E"/>
    <w:rsid w:val="00502656"/>
    <w:rsid w:val="005136A4"/>
    <w:rsid w:val="00514FC9"/>
    <w:rsid w:val="00523DC9"/>
    <w:rsid w:val="00545615"/>
    <w:rsid w:val="00545BF5"/>
    <w:rsid w:val="0055296F"/>
    <w:rsid w:val="0057414B"/>
    <w:rsid w:val="00576FC2"/>
    <w:rsid w:val="00581A47"/>
    <w:rsid w:val="0058393B"/>
    <w:rsid w:val="00592F6B"/>
    <w:rsid w:val="00597DBF"/>
    <w:rsid w:val="005D5C35"/>
    <w:rsid w:val="005E325C"/>
    <w:rsid w:val="00612F68"/>
    <w:rsid w:val="0063256D"/>
    <w:rsid w:val="00635443"/>
    <w:rsid w:val="00640ACD"/>
    <w:rsid w:val="00656F63"/>
    <w:rsid w:val="006618A4"/>
    <w:rsid w:val="006643D4"/>
    <w:rsid w:val="00675880"/>
    <w:rsid w:val="00696DCD"/>
    <w:rsid w:val="006A60CC"/>
    <w:rsid w:val="006C057C"/>
    <w:rsid w:val="006C1AFF"/>
    <w:rsid w:val="006C60B6"/>
    <w:rsid w:val="006D27AC"/>
    <w:rsid w:val="006E1BC2"/>
    <w:rsid w:val="006E3F09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D4680"/>
    <w:rsid w:val="007D72E1"/>
    <w:rsid w:val="007E0D42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24F"/>
    <w:rsid w:val="00826B6E"/>
    <w:rsid w:val="00826EE1"/>
    <w:rsid w:val="008352C5"/>
    <w:rsid w:val="00836014"/>
    <w:rsid w:val="008551C3"/>
    <w:rsid w:val="00856F40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C588F"/>
    <w:rsid w:val="009D1A88"/>
    <w:rsid w:val="009F1D25"/>
    <w:rsid w:val="009F480B"/>
    <w:rsid w:val="009F69EA"/>
    <w:rsid w:val="00A1021B"/>
    <w:rsid w:val="00A30728"/>
    <w:rsid w:val="00A30748"/>
    <w:rsid w:val="00A35A7A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62E7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3772E"/>
    <w:rsid w:val="00C4281E"/>
    <w:rsid w:val="00C50842"/>
    <w:rsid w:val="00C63376"/>
    <w:rsid w:val="00C73A88"/>
    <w:rsid w:val="00C74546"/>
    <w:rsid w:val="00C91D71"/>
    <w:rsid w:val="00C93D7B"/>
    <w:rsid w:val="00C9772F"/>
    <w:rsid w:val="00CA148F"/>
    <w:rsid w:val="00CA4B13"/>
    <w:rsid w:val="00CA656A"/>
    <w:rsid w:val="00CC0CAA"/>
    <w:rsid w:val="00CC41EC"/>
    <w:rsid w:val="00CD6E89"/>
    <w:rsid w:val="00CE654F"/>
    <w:rsid w:val="00CF21EA"/>
    <w:rsid w:val="00D0784F"/>
    <w:rsid w:val="00D166FC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96C0A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0883"/>
    <w:rsid w:val="00EC6803"/>
    <w:rsid w:val="00EC7C83"/>
    <w:rsid w:val="00ED0DF5"/>
    <w:rsid w:val="00ED41E3"/>
    <w:rsid w:val="00ED7C5D"/>
    <w:rsid w:val="00EF6AB0"/>
    <w:rsid w:val="00F013F2"/>
    <w:rsid w:val="00F33348"/>
    <w:rsid w:val="00F44B94"/>
    <w:rsid w:val="00F65D0D"/>
    <w:rsid w:val="00F70051"/>
    <w:rsid w:val="00F72A70"/>
    <w:rsid w:val="00F75211"/>
    <w:rsid w:val="00F76388"/>
    <w:rsid w:val="00FA10C2"/>
    <w:rsid w:val="00FB445A"/>
    <w:rsid w:val="00FC3DEC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E3FA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Akapit z listą BS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FEE1-E4A2-46C5-A3DD-2604EB64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5674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21</cp:revision>
  <cp:lastPrinted>2023-03-15T12:33:00Z</cp:lastPrinted>
  <dcterms:created xsi:type="dcterms:W3CDTF">2023-02-17T11:11:00Z</dcterms:created>
  <dcterms:modified xsi:type="dcterms:W3CDTF">2023-03-15T12:33:00Z</dcterms:modified>
</cp:coreProperties>
</file>