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C03E62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14</w:t>
      </w:r>
      <w:bookmarkStart w:id="0" w:name="_GoBack"/>
      <w:bookmarkEnd w:id="0"/>
      <w:r w:rsidR="006C4AF7">
        <w:rPr>
          <w:rFonts w:eastAsia="Times New Roman" w:cs="Arial"/>
          <w:lang w:eastAsia="ar-SA"/>
        </w:rPr>
        <w:t>. 06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6C4AF7">
        <w:rPr>
          <w:rFonts w:cs="Arial"/>
          <w:b/>
        </w:rPr>
        <w:t>nr: UKW/DZP-281-U-28</w:t>
      </w:r>
      <w:r w:rsidR="00E975BE">
        <w:rPr>
          <w:rFonts w:cs="Arial"/>
          <w:b/>
        </w:rPr>
        <w:t>/2022</w:t>
      </w:r>
    </w:p>
    <w:p w:rsidR="00E975BE" w:rsidRPr="00E975BE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b/>
          <w:noProof w:val="0"/>
          <w:lang w:val="pl-PL" w:eastAsia="pl-PL"/>
        </w:rPr>
      </w:pPr>
      <w:r w:rsidRPr="005F6F78">
        <w:rPr>
          <w:rFonts w:eastAsia="Times New Roman" w:cs="Tahoma"/>
          <w:b/>
          <w:noProof w:val="0"/>
          <w:lang w:val="pl-PL" w:eastAsia="pl-PL"/>
        </w:rPr>
        <w:t>Pytanie nr 1:</w:t>
      </w: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lang w:val="pl-PL"/>
        </w:rPr>
      </w:pPr>
      <w:r w:rsidRPr="005F6F78">
        <w:rPr>
          <w:lang w:val="pl-PL"/>
        </w:rPr>
        <w:t>Dotyczy Załącznik nr 7 do SWZ OPIS PRZEDMIOTU ZAMÓWIENIA z dnia 09.06.2022 Zamawiający specyfikuje zapis: d. Dostęp do systemów RDBMS (MySQL i MSSQL) z interfejsem WWW w zakresie tworzenia i zarządzania dowolną liczbą baz danych. Comarch Polska SA Al. Jana Pawła II 39A 31-864 Kraków E-mail: info@comarchpolska.pl Prezes Zarządu Wiceprezesi Zarządu Prof. Janusz Filipiak Paweł Prokop, Konrad Tarański Sąd Rejonowy dla Krakowa-Śródmieścia, Kraków, XI Wydział Gospodarczy Krajowego Rejestru Sądowego. KRS 0000307263. NIP: 675-13-87-586. Kapitał zakładowy Spółki: 500 000,00 zł (wpłacony w całości) Wykonawca zwraca uwagę, że umożliwienie dostępu do systemów RDBMS z poziomu interfejsu WWW może wiązać się z kwestiami bezpieczeństwa. Prosimy o potwierdzenie, że wystarczające będzie dostarczenie dostępu do MSQL z poziomu Microsoft SQL Server Management Studio.</w:t>
      </w:r>
    </w:p>
    <w:p w:rsidR="005F6F78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b/>
          <w:lang w:val="pl-PL"/>
        </w:rPr>
      </w:pPr>
    </w:p>
    <w:p w:rsidR="005F6F78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b/>
          <w:lang w:val="pl-PL"/>
        </w:rPr>
      </w:pPr>
      <w:r w:rsidRPr="005F6F78">
        <w:rPr>
          <w:b/>
          <w:lang w:val="pl-PL"/>
        </w:rPr>
        <w:t>Odpowiedź:</w:t>
      </w: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lang w:val="pl-PL"/>
        </w:rPr>
      </w:pPr>
    </w:p>
    <w:p w:rsidR="005F6F78" w:rsidRDefault="005F6F78" w:rsidP="005F6F7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Lato" w:hAnsi="Lato"/>
          <w:color w:val="000000"/>
        </w:rPr>
        <w:t>Wystarczające będzie dostarczenie dostępu do MSQL z poziomu Microsoft SQL Server Management Studio.</w:t>
      </w: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5F6F78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b/>
          <w:noProof w:val="0"/>
          <w:lang w:val="pl-PL" w:eastAsia="pl-PL"/>
        </w:rPr>
      </w:pPr>
      <w:r w:rsidRPr="005F6F78">
        <w:rPr>
          <w:rFonts w:eastAsia="Times New Roman" w:cs="Tahoma"/>
          <w:b/>
          <w:noProof w:val="0"/>
          <w:lang w:val="pl-PL" w:eastAsia="pl-PL"/>
        </w:rPr>
        <w:t>Pytanie nr 2</w:t>
      </w:r>
      <w:r w:rsidRPr="005F6F78">
        <w:rPr>
          <w:rFonts w:eastAsia="Times New Roman" w:cs="Tahoma"/>
          <w:b/>
          <w:noProof w:val="0"/>
          <w:lang w:val="pl-PL" w:eastAsia="pl-PL"/>
        </w:rPr>
        <w:t>:</w:t>
      </w: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5F6F78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lang w:val="pl-PL" w:eastAsia="pl-PL"/>
        </w:rPr>
      </w:pPr>
      <w:r w:rsidRPr="005F6F78">
        <w:rPr>
          <w:lang w:val="pl-PL"/>
        </w:rPr>
        <w:t xml:space="preserve">Dotyczy Załącznik nr 7 do SWZ OPIS PRZEDMIOTU ZAMÓWIENIA z dnia 09.06.2022 Zamawiający specyfikuje zapis: 8. Usługa konfiguracji i dostosowania systemu serwerowego do funkcjonalności odpowiadającej dostępnym w sprzedaży modelom zapewniającego zasoby do prawidłowego działania dedykowanego systemu informatycznego przynajmniej do następującej konfiguracji: • procesor 2 x Xeon E5-2630v3 8-core 3,2 GHz, • pamięć RAM 128 GB PC4, • kontroler RAID, np. PERC H730 mini lub równoważny, • 2 x 500 GB SSD, 5 lat gwarancji producenta na SSD, np. Samsung 870 EVO lub równoważny, • 2 x 3TB SAS 7,2K, • karty sieciowe 2 x 1 Gbit Ethernet, • kontroler zdalnego dostępu </w:t>
      </w:r>
      <w:r w:rsidRPr="005F6F78">
        <w:rPr>
          <w:lang w:val="pl-PL"/>
        </w:rPr>
        <w:lastRenderedPageBreak/>
        <w:t>(np. iDrac 8 lub równoważny), • redundantne zasilacze, • szyny rack. 9. Usługa konfiguracji i dostosowania komponentów systemu serwerowego do funkcjonalności odpowiadającej dostępnym w sprzedaży modelom zapewniającego zasoby do prawidłowego działania dedykowanego systemu archiwizacji danych z dedykowanego systemu informatycznego przynajmniej do następującej konfiguracji: • procesor 2 x Xeon E5-2680v2 10-core 3,6 GHz, • pamięć RAM 384 GB PC3, • kontroler RAID, np. PERC H730mini lub równoważny, • 2 x 500 GB SSD, 5 lat gwarancji producenta na SSD, np. Samsung 870 EVO lub równoważny, • 5 x 6TB SAS 7,2K, • 1 x 1 TB SSD NVME PCIE (np. Plextor lub równoważny), • karty sieciowe 4 x 1 Gbit Ethernet, • karta Intel X520 2 x 10 Gbit SFP+, • kontroler zdalnego dostępu (np. iDrac 7 lub równoważny), • redundantne zasilacze, • szyny rack. Comarch Polska SA Al. Jana Pawła II 39A 31-864 Kraków E-mail: info@comarchpolska.pl Prezes Zarządu Wiceprezesi Zarządu Prof. Janusz Filipiak Paweł Prokop, Konrad Tarański Sąd Rejonowy dla Krakowa-Śródmieścia, Kraków, XI Wydział Gospodarczy Krajowego Rejestru Sądowego. KRS 0000307263. NIP: 675-13-87-586. Kapitał zakładowy Spółki: 500 000,00 zł (wpłacony w całości) 1.Prosimy o wyjaśnienie, jak Zamawiający rozumie usługę konfiguracji i dostosowania systemu serwerowego? Prosimy o wypisanie enumeratywnej listy czynności, jakie należy wykonać, by wykonać opisaną przez Zamawiającego usługę. Czy Zamawiający zapewnia wszystkie wymienione komponenty sprzętowe, w celu wykonania tej usługi? 2. Zwracamy uwagę, że wg najlepszej wiedzy Wykonawcy, procesory Xeon E5-2630v3 8-core 3,2 GHz oraz Xeon E5-2680v2 10-core 3,6 GHz są już niedostępne na rynku, jako komponenty nowe, dostępne w wiarygodnych źródłach dystrybucji. W związku z tym, usługa konfiguracji w przypadku, gdy Wykonawca ma zapewnić komponenty sprzętowe jest niemożliwa do wykonania. Poniżej, na potwierdzenie, zamieszczamy strony producenta z adnotacją o braku kontynuacji produkcji tych procesorów: https://ark.intel.com/content/www/pl/pl/ark/products/83356/intel-xeon-processor-e52630-v3-20m-cache-2- 40-ghz.html https://ark.intel.com/content/www/pl/pl/ark/products/75277/intel-xeon-processor-e52680-v2-25m-cache-2- 80-ghz.html W związku z tym, prosimy o potwierdzenie, że Zamawiający dopuszcza dostarczenie fabrycznie nowej platformy serwerowej, o minimalnych parametrach określonych przez Zamawiającego, jako infrastruktury dedykowanej dla aplikacji 3. W związku z istotnymi wątpliwościami, co do jakości proponowanej przez Zamawiającego platformy sprzętowej, jako niezawodnej podstawy działania implementowanych aplikacji, prosimy o potwierdzenie, że Zamawiający ponosi wszelką odpowiedzialność za poprawność działania tej platformy i jej awaria, powodująca niedostępność aplikacji, będzie naprawiona przez Zamawiającego i nie będzie podstawą do naliczania kar dla Wykonawcy</w:t>
      </w: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5F6F78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b/>
          <w:lang w:val="pl-PL"/>
        </w:rPr>
      </w:pPr>
      <w:r w:rsidRPr="005F6F78">
        <w:rPr>
          <w:b/>
          <w:lang w:val="pl-PL"/>
        </w:rPr>
        <w:t>Odpowiedź:</w:t>
      </w:r>
    </w:p>
    <w:p w:rsidR="005F6F78" w:rsidRPr="005F6F78" w:rsidRDefault="005F6F78" w:rsidP="005F6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F6F78">
        <w:rPr>
          <w:rFonts w:asciiTheme="minorHAnsi" w:hAnsiTheme="minorHAnsi"/>
          <w:color w:val="000000"/>
          <w:sz w:val="20"/>
          <w:szCs w:val="20"/>
        </w:rPr>
        <w:t xml:space="preserve">Zamawiający zdaje sobie sprawę, że zasoby serwerowe którymi dysponuje są przestarzałe i usługa modernizacji może wiązać się z wymianą wszystkich ich podzespołów. Zamawiający nie zapewnia komponentów sprzętowych w celu wykonania usługi. W rozumieniu zapisu "przynajmniej do następującej konfiguracji" Zamawiający dopuszcza modyfikację listy podzespołów o rozwiązania równoważne - dostępne aktualnie na rynku. Zamawiający dopuszcza dostarczenie fabrycznie nowej platformy serwerowej, o minimalnych parametrach określonych przez Zamawiającego, jako infrastruktury dedykowanej dla aplikacji. Zamawiający zwraca jednak uwagę na parametry systemu serwerowego, który będzie używany m.in. do archiwizacji danych - wskazano tutaj technologie, minimalne parametry pamięci operacyjnej oraz masowej wspierające wirtualizację systemów </w:t>
      </w:r>
      <w:r w:rsidRPr="005F6F78">
        <w:rPr>
          <w:rFonts w:asciiTheme="minorHAnsi" w:hAnsiTheme="minorHAnsi"/>
          <w:color w:val="000000"/>
          <w:sz w:val="20"/>
          <w:szCs w:val="20"/>
        </w:rPr>
        <w:lastRenderedPageBreak/>
        <w:t>operacyjnych i środowisk programistycznych na potrzeby dydaktyki, które Zamawiający przygotuje we własnym zakresie.</w:t>
      </w:r>
    </w:p>
    <w:p w:rsidR="005F6F78" w:rsidRPr="005F6F78" w:rsidRDefault="005F6F78" w:rsidP="005F6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F6F78">
        <w:rPr>
          <w:rFonts w:asciiTheme="minorHAnsi" w:hAnsiTheme="minorHAnsi"/>
          <w:color w:val="000000"/>
          <w:sz w:val="20"/>
          <w:szCs w:val="20"/>
        </w:rPr>
        <w:t>Zamawiający ponosi wszelką odpowiedzialność za poprawność działania tej platformy i jej awaria, powodująca niedostępność aplikacji, będzie naprawiona przez Zamawiającego i nie będzie podstawą do naliczania kar dla Wykonawcy.</w:t>
      </w: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sz w:val="20"/>
          <w:szCs w:val="20"/>
          <w:lang w:val="pl-PL" w:eastAsia="pl-PL"/>
        </w:rPr>
      </w:pPr>
    </w:p>
    <w:p w:rsidR="005F6F78" w:rsidRDefault="005F6F78" w:rsidP="005F6F78">
      <w:pPr>
        <w:pStyle w:val="Akapitzlist"/>
        <w:numPr>
          <w:ilvl w:val="0"/>
          <w:numId w:val="0"/>
        </w:numPr>
        <w:spacing w:before="120" w:after="120"/>
        <w:rPr>
          <w:rFonts w:eastAsia="Times New Roman" w:cs="Tahoma"/>
          <w:noProof w:val="0"/>
          <w:sz w:val="20"/>
          <w:szCs w:val="20"/>
          <w:lang w:val="pl-PL" w:eastAsia="pl-PL"/>
        </w:rPr>
      </w:pPr>
    </w:p>
    <w:p w:rsidR="005F6F78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jc w:val="right"/>
        <w:rPr>
          <w:rFonts w:eastAsia="Times New Roman" w:cs="Tahoma"/>
          <w:b/>
          <w:i/>
          <w:noProof w:val="0"/>
          <w:sz w:val="20"/>
          <w:szCs w:val="20"/>
          <w:lang w:val="pl-PL" w:eastAsia="pl-PL"/>
        </w:rPr>
      </w:pPr>
      <w:r w:rsidRPr="005F6F78">
        <w:rPr>
          <w:rFonts w:eastAsia="Times New Roman" w:cs="Tahoma"/>
          <w:b/>
          <w:i/>
          <w:noProof w:val="0"/>
          <w:sz w:val="20"/>
          <w:szCs w:val="20"/>
          <w:lang w:val="pl-PL" w:eastAsia="pl-PL"/>
        </w:rPr>
        <w:t>Kanclerz UKW</w:t>
      </w:r>
    </w:p>
    <w:p w:rsidR="005F6F78" w:rsidRPr="005F6F78" w:rsidRDefault="005F6F78" w:rsidP="005F6F78">
      <w:pPr>
        <w:pStyle w:val="Akapitzlist"/>
        <w:numPr>
          <w:ilvl w:val="0"/>
          <w:numId w:val="0"/>
        </w:numPr>
        <w:spacing w:before="120" w:after="120"/>
        <w:jc w:val="right"/>
        <w:rPr>
          <w:rFonts w:eastAsia="Times New Roman" w:cs="Tahoma"/>
          <w:b/>
          <w:i/>
          <w:noProof w:val="0"/>
          <w:sz w:val="20"/>
          <w:szCs w:val="20"/>
          <w:lang w:val="pl-PL" w:eastAsia="pl-PL"/>
        </w:rPr>
      </w:pPr>
      <w:r w:rsidRPr="005F6F78">
        <w:rPr>
          <w:rFonts w:eastAsia="Times New Roman" w:cs="Tahoma"/>
          <w:b/>
          <w:i/>
          <w:noProof w:val="0"/>
          <w:sz w:val="20"/>
          <w:szCs w:val="20"/>
          <w:lang w:val="pl-PL" w:eastAsia="pl-PL"/>
        </w:rPr>
        <w:t>mgr Renata Malak</w:t>
      </w:r>
    </w:p>
    <w:sectPr w:rsidR="005F6F78" w:rsidRPr="005F6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07" w:rsidRDefault="003B5B07" w:rsidP="00322EC2">
      <w:pPr>
        <w:spacing w:after="0" w:line="240" w:lineRule="auto"/>
      </w:pPr>
      <w:r>
        <w:separator/>
      </w:r>
    </w:p>
  </w:endnote>
  <w:endnote w:type="continuationSeparator" w:id="0">
    <w:p w:rsidR="003B5B07" w:rsidRDefault="003B5B0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07" w:rsidRDefault="003B5B07" w:rsidP="00322EC2">
      <w:pPr>
        <w:spacing w:after="0" w:line="240" w:lineRule="auto"/>
      </w:pPr>
      <w:r>
        <w:separator/>
      </w:r>
    </w:p>
  </w:footnote>
  <w:footnote w:type="continuationSeparator" w:id="0">
    <w:p w:rsidR="003B5B07" w:rsidRDefault="003B5B0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B5B07"/>
    <w:rsid w:val="003C0478"/>
    <w:rsid w:val="003F760A"/>
    <w:rsid w:val="00425898"/>
    <w:rsid w:val="00431FDC"/>
    <w:rsid w:val="0043286E"/>
    <w:rsid w:val="00463B12"/>
    <w:rsid w:val="004B6117"/>
    <w:rsid w:val="004D4D29"/>
    <w:rsid w:val="005F08DB"/>
    <w:rsid w:val="005F6F78"/>
    <w:rsid w:val="00605459"/>
    <w:rsid w:val="00671DC4"/>
    <w:rsid w:val="00674729"/>
    <w:rsid w:val="0068286C"/>
    <w:rsid w:val="006C4AF7"/>
    <w:rsid w:val="006D5435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D3EE3"/>
    <w:rsid w:val="00A16C5E"/>
    <w:rsid w:val="00A22307"/>
    <w:rsid w:val="00A22842"/>
    <w:rsid w:val="00A67965"/>
    <w:rsid w:val="00AA1986"/>
    <w:rsid w:val="00AB38C9"/>
    <w:rsid w:val="00AE5361"/>
    <w:rsid w:val="00B51226"/>
    <w:rsid w:val="00B71C08"/>
    <w:rsid w:val="00B9011D"/>
    <w:rsid w:val="00BB139B"/>
    <w:rsid w:val="00BC651F"/>
    <w:rsid w:val="00C03E62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B5D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3</cp:revision>
  <cp:lastPrinted>2022-01-31T08:34:00Z</cp:lastPrinted>
  <dcterms:created xsi:type="dcterms:W3CDTF">2022-06-14T06:36:00Z</dcterms:created>
  <dcterms:modified xsi:type="dcterms:W3CDTF">2022-06-14T06:36:00Z</dcterms:modified>
</cp:coreProperties>
</file>