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AD59" w14:textId="77777777" w:rsidR="00032EA9" w:rsidRDefault="00032EA9" w:rsidP="00594AE9">
      <w:pPr>
        <w:rPr>
          <w:b/>
        </w:rPr>
      </w:pPr>
    </w:p>
    <w:p w14:paraId="0EDCAD5A" w14:textId="606189A5" w:rsidR="00032EA9" w:rsidRDefault="00032EA9" w:rsidP="00032EA9">
      <w:pPr>
        <w:jc w:val="right"/>
        <w:rPr>
          <w:rFonts w:cstheme="minorHAnsi"/>
        </w:rPr>
      </w:pPr>
      <w:r>
        <w:rPr>
          <w:b/>
        </w:rPr>
        <w:tab/>
      </w:r>
      <w:r>
        <w:rPr>
          <w:b/>
        </w:rPr>
        <w:tab/>
      </w:r>
      <w:r w:rsidR="00A332C5" w:rsidRPr="00A332C5">
        <w:t>2</w:t>
      </w:r>
      <w:r>
        <w:rPr>
          <w:rFonts w:cstheme="minorHAnsi"/>
        </w:rPr>
        <w:t>/</w:t>
      </w:r>
      <w:proofErr w:type="spellStart"/>
      <w:r w:rsidRPr="00D55F60">
        <w:rPr>
          <w:rFonts w:cstheme="minorHAnsi"/>
        </w:rPr>
        <w:t>ZDTPPiA</w:t>
      </w:r>
      <w:proofErr w:type="spellEnd"/>
      <w:r w:rsidRPr="00D55F60">
        <w:rPr>
          <w:rFonts w:cstheme="minorHAnsi"/>
        </w:rPr>
        <w:t>/262/202</w:t>
      </w:r>
      <w:r>
        <w:rPr>
          <w:rFonts w:cstheme="minorHAnsi"/>
        </w:rPr>
        <w:t>3</w:t>
      </w:r>
    </w:p>
    <w:p w14:paraId="32E71DF0" w14:textId="77777777" w:rsidR="00D309A8" w:rsidRDefault="00D309A8" w:rsidP="00F43129">
      <w:pPr>
        <w:jc w:val="left"/>
        <w:rPr>
          <w:rFonts w:ascii="Calibri" w:hAnsi="Calibri" w:cs="Calibri"/>
          <w:b/>
        </w:rPr>
      </w:pPr>
    </w:p>
    <w:p w14:paraId="7AD2DAE2" w14:textId="4C27EE20" w:rsidR="00F43129" w:rsidRPr="00F43129" w:rsidRDefault="00F43129" w:rsidP="00F43129">
      <w:pPr>
        <w:jc w:val="left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>Załącznik nr 2</w:t>
      </w:r>
    </w:p>
    <w:p w14:paraId="062401D9" w14:textId="48FD3BBE" w:rsidR="00F43129" w:rsidRDefault="00F43129" w:rsidP="00F43129">
      <w:pPr>
        <w:jc w:val="center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 xml:space="preserve">OPIS MINIMALNYCH PARAMETRÓW TECHNICZNYCH – w zakresie części </w:t>
      </w:r>
      <w:r w:rsidR="00902D2F">
        <w:rPr>
          <w:rFonts w:ascii="Calibri" w:hAnsi="Calibri" w:cs="Calibri"/>
          <w:b/>
        </w:rPr>
        <w:t>3</w:t>
      </w:r>
    </w:p>
    <w:p w14:paraId="7238FCD0" w14:textId="77777777" w:rsidR="007829F3" w:rsidRDefault="007829F3" w:rsidP="00F43129">
      <w:pPr>
        <w:jc w:val="center"/>
        <w:rPr>
          <w:rFonts w:cstheme="minorHAnsi"/>
          <w:i/>
          <w:iCs/>
        </w:rPr>
      </w:pPr>
    </w:p>
    <w:p w14:paraId="73171127" w14:textId="7C26BC73" w:rsidR="00D47D87" w:rsidRPr="00695FE9" w:rsidRDefault="007829F3" w:rsidP="00F43129">
      <w:pPr>
        <w:jc w:val="center"/>
        <w:rPr>
          <w:rFonts w:ascii="Calibri" w:hAnsi="Calibri" w:cs="Calibri"/>
          <w:b/>
        </w:rPr>
      </w:pPr>
      <w:r w:rsidRPr="00695FE9">
        <w:rPr>
          <w:rFonts w:cstheme="minorHAnsi"/>
          <w:b/>
          <w:iCs/>
        </w:rPr>
        <w:t>Zakup s</w:t>
      </w:r>
      <w:r w:rsidRPr="00695FE9">
        <w:rPr>
          <w:rFonts w:cstheme="minorHAnsi"/>
          <w:b/>
          <w:color w:val="000000"/>
        </w:rPr>
        <w:t xml:space="preserve">przętu i wyposażenia do </w:t>
      </w:r>
      <w:r w:rsidR="00902D2F">
        <w:rPr>
          <w:rFonts w:cstheme="minorHAnsi"/>
          <w:b/>
          <w:color w:val="000000"/>
        </w:rPr>
        <w:t xml:space="preserve">analiz </w:t>
      </w:r>
      <w:proofErr w:type="spellStart"/>
      <w:r w:rsidR="00902D2F">
        <w:rPr>
          <w:rFonts w:cstheme="minorHAnsi"/>
          <w:b/>
          <w:color w:val="000000"/>
        </w:rPr>
        <w:t>ichtiofaunistycznych</w:t>
      </w:r>
      <w:proofErr w:type="spellEnd"/>
    </w:p>
    <w:p w14:paraId="63E59302" w14:textId="77777777" w:rsidR="00F43129" w:rsidRPr="00F43129" w:rsidRDefault="00F43129" w:rsidP="00F43129">
      <w:pPr>
        <w:ind w:left="0" w:firstLine="0"/>
        <w:rPr>
          <w:rFonts w:cstheme="minorHAnsi"/>
        </w:rPr>
      </w:pPr>
    </w:p>
    <w:p w14:paraId="7945A7DD" w14:textId="77777777" w:rsidR="00F43129" w:rsidRPr="00F43129" w:rsidRDefault="00F43129" w:rsidP="00F43129">
      <w:pPr>
        <w:ind w:left="0" w:firstLine="0"/>
        <w:rPr>
          <w:rFonts w:cstheme="minorHAnsi"/>
        </w:rPr>
      </w:pPr>
      <w:r w:rsidRPr="00F43129">
        <w:rPr>
          <w:rFonts w:cstheme="minorHAnsi"/>
        </w:rPr>
        <w:t>Zamawiający odrzuci ofertę, której minimalne parametry techniczne nie będą spełniały wymagań opisu przedmiotu zamówienia.</w:t>
      </w:r>
    </w:p>
    <w:p w14:paraId="0B4A1E7B" w14:textId="52FDE95A" w:rsidR="00F43129" w:rsidRPr="00D309A8" w:rsidRDefault="00DD01A3" w:rsidP="00DD01A3">
      <w:pPr>
        <w:ind w:left="0" w:firstLine="0"/>
        <w:rPr>
          <w:rFonts w:cstheme="minorHAnsi"/>
          <w:sz w:val="24"/>
          <w:szCs w:val="24"/>
        </w:rPr>
      </w:pPr>
      <w:r w:rsidRPr="0027651C">
        <w:t xml:space="preserve">Wykonawca jest zobowiązany podać </w:t>
      </w:r>
      <w:r w:rsidRPr="00DD01A3">
        <w:t>dokładny opis</w:t>
      </w:r>
      <w:r>
        <w:t xml:space="preserve"> oferowanego sprzętu i wyposażenia </w:t>
      </w:r>
      <w:r w:rsidRPr="0027651C">
        <w:t>w prawej kolumnie tabeli „</w:t>
      </w:r>
      <w:r>
        <w:t>S</w:t>
      </w:r>
      <w:r w:rsidRPr="0027651C">
        <w:t xml:space="preserve">zczegółowy </w:t>
      </w:r>
      <w:r>
        <w:t xml:space="preserve">zakres parametrów </w:t>
      </w:r>
      <w:r w:rsidRPr="0027651C">
        <w:t>oferowany przez Wykonawcę”. Nie dopuszcza się, wpisywania określeń ogólnych typu „tak”, „spełnia”, „zgodne” itp.</w:t>
      </w:r>
    </w:p>
    <w:p w14:paraId="5D2F4E11" w14:textId="0524CD1A" w:rsidR="00F43129" w:rsidRDefault="00F43129" w:rsidP="00032EA9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17"/>
        <w:gridCol w:w="4105"/>
      </w:tblGrid>
      <w:tr w:rsidR="00A332C5" w:rsidRPr="008C4F31" w14:paraId="3603E1A8" w14:textId="77777777" w:rsidTr="00472AFE">
        <w:tc>
          <w:tcPr>
            <w:tcW w:w="540" w:type="dxa"/>
            <w:shd w:val="clear" w:color="auto" w:fill="EDEDED"/>
            <w:vAlign w:val="center"/>
          </w:tcPr>
          <w:p w14:paraId="46EB9EDF" w14:textId="77777777" w:rsidR="00A332C5" w:rsidRPr="008C4F31" w:rsidRDefault="00A332C5" w:rsidP="007320A1">
            <w:pPr>
              <w:jc w:val="center"/>
              <w:rPr>
                <w:rFonts w:cs="Calibri"/>
                <w:b/>
                <w:color w:val="000000"/>
              </w:rPr>
            </w:pPr>
            <w:r w:rsidRPr="008C4F31">
              <w:rPr>
                <w:rFonts w:cs="Calibri"/>
                <w:b/>
                <w:color w:val="000000"/>
              </w:rPr>
              <w:t>LP.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14:paraId="583ABB8F" w14:textId="77777777" w:rsidR="00A332C5" w:rsidRPr="008C4F31" w:rsidRDefault="00A332C5" w:rsidP="00CE53E0">
            <w:pPr>
              <w:snapToGrid w:val="0"/>
              <w:spacing w:before="120" w:after="120"/>
              <w:rPr>
                <w:rFonts w:cs="Calibri"/>
                <w:b/>
                <w:color w:val="000000"/>
              </w:rPr>
            </w:pPr>
            <w:r w:rsidRPr="008C4F31">
              <w:rPr>
                <w:rFonts w:cs="Calibri"/>
                <w:b/>
                <w:color w:val="000000"/>
              </w:rPr>
              <w:t xml:space="preserve">Szczegółowy zakres minimalnych parametrów wymagany przez Zamawiającego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03A4207" w14:textId="77777777" w:rsidR="00A332C5" w:rsidRPr="008C4F31" w:rsidRDefault="00A332C5" w:rsidP="007320A1">
            <w:pPr>
              <w:snapToGri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8C4F31">
              <w:rPr>
                <w:rFonts w:cs="Calibri"/>
                <w:b/>
                <w:color w:val="000000"/>
              </w:rPr>
              <w:t>Szczegółowy zakres parametrów oferowany przez Wykonawcę:</w:t>
            </w:r>
          </w:p>
        </w:tc>
      </w:tr>
      <w:tr w:rsidR="00A332C5" w:rsidRPr="008C4F31" w14:paraId="6FCE5470" w14:textId="77777777" w:rsidTr="00472AFE">
        <w:trPr>
          <w:trHeight w:val="650"/>
        </w:trPr>
        <w:tc>
          <w:tcPr>
            <w:tcW w:w="540" w:type="dxa"/>
            <w:shd w:val="clear" w:color="auto" w:fill="auto"/>
          </w:tcPr>
          <w:p w14:paraId="2C6480F6" w14:textId="77777777" w:rsidR="00A332C5" w:rsidRPr="008C4F31" w:rsidRDefault="00A332C5" w:rsidP="007320A1">
            <w:pPr>
              <w:rPr>
                <w:rFonts w:cs="Calibri"/>
              </w:rPr>
            </w:pPr>
            <w:r w:rsidRPr="008C4F31">
              <w:rPr>
                <w:rFonts w:cs="Calibri"/>
              </w:rPr>
              <w:t>1.</w:t>
            </w:r>
          </w:p>
        </w:tc>
        <w:tc>
          <w:tcPr>
            <w:tcW w:w="4417" w:type="dxa"/>
            <w:shd w:val="clear" w:color="auto" w:fill="auto"/>
          </w:tcPr>
          <w:p w14:paraId="26B439FB" w14:textId="7E80546D" w:rsidR="00A332C5" w:rsidRPr="008C4F31" w:rsidRDefault="00902D2F" w:rsidP="00902D2F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S</w:t>
            </w:r>
            <w:r w:rsidRPr="00902D2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tół ze stali nierdzewnej z blatem izotermicznym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o wymiarach </w:t>
            </w:r>
            <w:r w:rsidRPr="00902D2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2 m x 1 m, na kołach gumowanych z możliwością blokowania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;</w:t>
            </w:r>
            <w:r w:rsidRPr="00902D2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2 szt.</w:t>
            </w:r>
          </w:p>
        </w:tc>
        <w:tc>
          <w:tcPr>
            <w:tcW w:w="4105" w:type="dxa"/>
            <w:shd w:val="clear" w:color="auto" w:fill="auto"/>
          </w:tcPr>
          <w:p w14:paraId="6B211923" w14:textId="77777777" w:rsidR="00A332C5" w:rsidRPr="008C4F31" w:rsidRDefault="00A332C5" w:rsidP="007320A1">
            <w:pPr>
              <w:rPr>
                <w:rFonts w:cs="Calibri"/>
                <w:color w:val="000000"/>
              </w:rPr>
            </w:pPr>
          </w:p>
        </w:tc>
      </w:tr>
      <w:tr w:rsidR="00902D2F" w:rsidRPr="008C4F31" w14:paraId="7FEFAC30" w14:textId="77777777" w:rsidTr="00472AFE">
        <w:trPr>
          <w:trHeight w:val="650"/>
        </w:trPr>
        <w:tc>
          <w:tcPr>
            <w:tcW w:w="540" w:type="dxa"/>
            <w:shd w:val="clear" w:color="auto" w:fill="auto"/>
          </w:tcPr>
          <w:p w14:paraId="2472F45A" w14:textId="5022CED0" w:rsidR="00902D2F" w:rsidRPr="008C4F31" w:rsidRDefault="00637CC1" w:rsidP="007320A1">
            <w:pPr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4417" w:type="dxa"/>
            <w:shd w:val="clear" w:color="auto" w:fill="auto"/>
          </w:tcPr>
          <w:p w14:paraId="6914DD3C" w14:textId="723B856C" w:rsidR="00902D2F" w:rsidRDefault="00902D2F" w:rsidP="00902D2F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Z</w:t>
            </w:r>
            <w:r w:rsidRPr="00902D2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estaw do utrwalania prób biologicznych: pojemniki szklane zamykane o pojemności 1000 ml - 20 szt., butelki laboratoryjne ze szkła borokrzemowego o pojemności 1000 ml - 20 szt., o pojemności 100 ml - 50 szt., zlewki o zwiększonej odporności i pojemności 500 ml - 20 szt., pojemność 1000 ml - 20 szt., pojemność 5000 ml - 20 szt., cylindry miarowe  o pojemności 500 ml - 5 szt., pojemność 100 ml - 5 szt.</w:t>
            </w:r>
          </w:p>
        </w:tc>
        <w:tc>
          <w:tcPr>
            <w:tcW w:w="4105" w:type="dxa"/>
            <w:shd w:val="clear" w:color="auto" w:fill="auto"/>
          </w:tcPr>
          <w:p w14:paraId="60783E02" w14:textId="77777777" w:rsidR="00902D2F" w:rsidRPr="008C4F31" w:rsidRDefault="00902D2F" w:rsidP="007320A1">
            <w:pPr>
              <w:rPr>
                <w:rFonts w:cs="Calibri"/>
                <w:color w:val="000000"/>
              </w:rPr>
            </w:pPr>
          </w:p>
        </w:tc>
      </w:tr>
      <w:tr w:rsidR="00902D2F" w:rsidRPr="008C4F31" w14:paraId="06215B8E" w14:textId="77777777" w:rsidTr="00472AFE">
        <w:trPr>
          <w:trHeight w:val="650"/>
        </w:trPr>
        <w:tc>
          <w:tcPr>
            <w:tcW w:w="540" w:type="dxa"/>
            <w:shd w:val="clear" w:color="auto" w:fill="auto"/>
          </w:tcPr>
          <w:p w14:paraId="22C61613" w14:textId="539220F5" w:rsidR="00902D2F" w:rsidRPr="008C4F31" w:rsidRDefault="00637CC1" w:rsidP="007320A1">
            <w:pPr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417" w:type="dxa"/>
            <w:shd w:val="clear" w:color="auto" w:fill="auto"/>
          </w:tcPr>
          <w:p w14:paraId="2449AE58" w14:textId="10F7685A" w:rsidR="00902D2F" w:rsidRDefault="00902D2F" w:rsidP="00902D2F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 xml:space="preserve">Zestaw narzędzi chirurgicznych, </w:t>
            </w:r>
            <w:r>
              <w:rPr>
                <w:rFonts w:ascii="Calibri" w:hAnsi="Calibri"/>
                <w:sz w:val="22"/>
                <w:szCs w:val="22"/>
              </w:rPr>
              <w:t>weterynaryjny;</w:t>
            </w:r>
            <w:r w:rsidRPr="00AE41B9">
              <w:rPr>
                <w:rFonts w:ascii="Calibri" w:hAnsi="Calibri"/>
                <w:sz w:val="22"/>
                <w:szCs w:val="22"/>
              </w:rPr>
              <w:t xml:space="preserve"> narzędzia chirurgiczne wykonane z wysokostopowej stali chirurgicznej, wielokrotnego użytku, mogą być poddawany procesowi sterylizacji; rączka do skalpela dwustronna  Nr 3 i 4, 16 cm / 6 ¼" – 1 szt., hak 19 cm - 1szt., haczyk kastracyjny dwustronny – 1 szt., kleszczyki 12,5cm / 5", 1x2 ząb, zagięte – 2 szt., kleszczyki 10 cm / 4", proste – 2 szt., igłotrzymacz 14 cm / 5 ½” – 1 szt., igłotrzymacz 14 cm / 5 ½” – 1 szt., spinak do serwet 9 cm – 4 szt., nożyczki operacyjne standard 11,5cm / 5 ½", ostre/ostre proste – 1 szt., nożyczki operacyjne 17cm / 6 ¾", zagięte – 1 szt., kleszczyki 16 cm / 6 ¼", proste – 2 szt., pinceta 12cm / 4¾” – 1 szt., pinceta 12 cm / 4 ¾" – 1 szt., pinceta 12,5cm / 5", zagięta – 1 szt. </w:t>
            </w:r>
            <w:r w:rsidRPr="00AE41B9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E41B9">
              <w:rPr>
                <w:rFonts w:ascii="Calibri" w:hAnsi="Calibri"/>
                <w:sz w:val="22"/>
                <w:szCs w:val="22"/>
              </w:rPr>
              <w:t xml:space="preserve"> kpl.</w:t>
            </w:r>
          </w:p>
        </w:tc>
        <w:tc>
          <w:tcPr>
            <w:tcW w:w="4105" w:type="dxa"/>
            <w:shd w:val="clear" w:color="auto" w:fill="auto"/>
          </w:tcPr>
          <w:p w14:paraId="39B23ED6" w14:textId="77777777" w:rsidR="00902D2F" w:rsidRPr="008C4F31" w:rsidRDefault="00902D2F" w:rsidP="007320A1">
            <w:pPr>
              <w:rPr>
                <w:rFonts w:cs="Calibri"/>
                <w:color w:val="000000"/>
              </w:rPr>
            </w:pPr>
          </w:p>
        </w:tc>
      </w:tr>
      <w:tr w:rsidR="00902D2F" w:rsidRPr="008C4F31" w14:paraId="1F554BD1" w14:textId="77777777" w:rsidTr="00472AFE">
        <w:trPr>
          <w:trHeight w:val="650"/>
        </w:trPr>
        <w:tc>
          <w:tcPr>
            <w:tcW w:w="540" w:type="dxa"/>
            <w:shd w:val="clear" w:color="auto" w:fill="auto"/>
          </w:tcPr>
          <w:p w14:paraId="2ECB8F21" w14:textId="3953A456" w:rsidR="00902D2F" w:rsidRPr="008C4F31" w:rsidRDefault="00637CC1" w:rsidP="007320A1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4.</w:t>
            </w:r>
          </w:p>
        </w:tc>
        <w:tc>
          <w:tcPr>
            <w:tcW w:w="4417" w:type="dxa"/>
            <w:shd w:val="clear" w:color="auto" w:fill="auto"/>
          </w:tcPr>
          <w:p w14:paraId="523EA474" w14:textId="4CDFFF6D" w:rsidR="00902D2F" w:rsidRPr="00AE41B9" w:rsidRDefault="00AF3964" w:rsidP="00902D2F">
            <w:pPr>
              <w:pStyle w:val="Akapitzlist"/>
              <w:spacing w:after="160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41B9">
              <w:rPr>
                <w:rFonts w:ascii="Calibri" w:hAnsi="Calibri"/>
                <w:sz w:val="22"/>
                <w:szCs w:val="22"/>
              </w:rPr>
              <w:t>Waga precyzyjna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AE41B9">
              <w:rPr>
                <w:rFonts w:ascii="Calibri" w:hAnsi="Calibri"/>
                <w:sz w:val="22"/>
                <w:szCs w:val="22"/>
              </w:rPr>
              <w:t xml:space="preserve"> o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>bciążenie maksymalne</w:t>
            </w:r>
            <w:r w:rsidR="007A7145">
              <w:rPr>
                <w:rFonts w:ascii="Calibri" w:hAnsi="Calibri"/>
                <w:color w:val="000000"/>
                <w:sz w:val="22"/>
                <w:szCs w:val="22"/>
              </w:rPr>
              <w:t xml:space="preserve"> do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  <w:r w:rsidR="007A71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 xml:space="preserve">g; </w:t>
            </w:r>
            <w:r w:rsidRPr="008C0E35">
              <w:rPr>
                <w:rFonts w:ascii="Calibri" w:hAnsi="Calibri"/>
                <w:sz w:val="22"/>
                <w:szCs w:val="22"/>
              </w:rPr>
              <w:t>o</w:t>
            </w:r>
            <w:r w:rsidRPr="008C0E35">
              <w:rPr>
                <w:rFonts w:ascii="Calibri" w:hAnsi="Calibri"/>
                <w:color w:val="000000"/>
                <w:sz w:val="22"/>
                <w:szCs w:val="22"/>
              </w:rPr>
              <w:t>bciążenie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minima</w:t>
            </w:r>
            <w:r w:rsidRPr="008C0E35">
              <w:rPr>
                <w:rFonts w:ascii="Calibri" w:hAnsi="Calibri"/>
                <w:color w:val="000000"/>
                <w:sz w:val="22"/>
                <w:szCs w:val="22"/>
              </w:rPr>
              <w:t xml:space="preserve">lne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 </w:t>
            </w:r>
            <w:r w:rsidRPr="008C0E35">
              <w:rPr>
                <w:rFonts w:ascii="Calibri" w:hAnsi="Calibri"/>
                <w:color w:val="000000"/>
                <w:sz w:val="22"/>
                <w:szCs w:val="22"/>
              </w:rPr>
              <w:t>g;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 xml:space="preserve">dokładność odczytu do 0,1 g; zakres tary do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-6 kg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>; powtarzalność do 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 xml:space="preserve"> g; czas stabilizacji do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 xml:space="preserve"> sek.; adiustacja automatyczna; szalka o wymiarach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 zakresie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 xml:space="preserve"> x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 xml:space="preserve"> mm, wykonana ze stali nierdzewnej; manualny system poziomowania; zasilanie sieciowe; wyświetlacz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 xml:space="preserve">LCD z podświetleniem; interfejs RS 232; stopień ochrony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>IP 43; temperatura pracy od +1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 xml:space="preserve"> do +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AE41B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o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;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 xml:space="preserve"> 2 szt.</w:t>
            </w:r>
          </w:p>
        </w:tc>
        <w:tc>
          <w:tcPr>
            <w:tcW w:w="4105" w:type="dxa"/>
            <w:shd w:val="clear" w:color="auto" w:fill="auto"/>
          </w:tcPr>
          <w:p w14:paraId="4837CA36" w14:textId="77777777" w:rsidR="00902D2F" w:rsidRPr="008C4F31" w:rsidRDefault="00902D2F" w:rsidP="007320A1">
            <w:pPr>
              <w:rPr>
                <w:rFonts w:cs="Calibri"/>
                <w:color w:val="000000"/>
              </w:rPr>
            </w:pPr>
          </w:p>
        </w:tc>
      </w:tr>
      <w:tr w:rsidR="00AF3964" w:rsidRPr="008C4F31" w14:paraId="00115269" w14:textId="77777777" w:rsidTr="00472AFE">
        <w:trPr>
          <w:trHeight w:val="650"/>
        </w:trPr>
        <w:tc>
          <w:tcPr>
            <w:tcW w:w="540" w:type="dxa"/>
            <w:shd w:val="clear" w:color="auto" w:fill="auto"/>
          </w:tcPr>
          <w:p w14:paraId="7D5DFBE0" w14:textId="63994B69" w:rsidR="00AF3964" w:rsidRPr="008C4F31" w:rsidRDefault="00637CC1" w:rsidP="007320A1">
            <w:pPr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417" w:type="dxa"/>
            <w:shd w:val="clear" w:color="auto" w:fill="auto"/>
          </w:tcPr>
          <w:p w14:paraId="1994A9A7" w14:textId="361E2636" w:rsidR="00AF3964" w:rsidRPr="00AE41B9" w:rsidRDefault="00AF3964" w:rsidP="00902D2F">
            <w:pPr>
              <w:pStyle w:val="Akapitzlist"/>
              <w:spacing w:after="1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AE41B9">
              <w:rPr>
                <w:rFonts w:ascii="Calibri" w:hAnsi="Calibri"/>
                <w:sz w:val="22"/>
                <w:szCs w:val="22"/>
              </w:rPr>
              <w:t>Waga precyzyjna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AE41B9">
              <w:rPr>
                <w:rFonts w:ascii="Calibri" w:hAnsi="Calibri"/>
                <w:sz w:val="22"/>
                <w:szCs w:val="22"/>
              </w:rPr>
              <w:t xml:space="preserve"> o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>bciążenie maksymalne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A7145">
              <w:rPr>
                <w:rFonts w:ascii="Calibri" w:hAnsi="Calibri"/>
                <w:color w:val="000000"/>
                <w:sz w:val="22"/>
                <w:szCs w:val="22"/>
              </w:rPr>
              <w:t>do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500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 xml:space="preserve"> g; </w:t>
            </w:r>
            <w:r w:rsidRPr="008C0E35">
              <w:rPr>
                <w:rFonts w:ascii="Calibri" w:hAnsi="Calibri"/>
                <w:sz w:val="22"/>
                <w:szCs w:val="22"/>
              </w:rPr>
              <w:t>o</w:t>
            </w:r>
            <w:r w:rsidRPr="008C0E35">
              <w:rPr>
                <w:rFonts w:ascii="Calibri" w:hAnsi="Calibri"/>
                <w:color w:val="000000"/>
                <w:sz w:val="22"/>
                <w:szCs w:val="22"/>
              </w:rPr>
              <w:t xml:space="preserve">bciążenie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minima</w:t>
            </w:r>
            <w:r w:rsidRPr="008C0E35">
              <w:rPr>
                <w:rFonts w:ascii="Calibri" w:hAnsi="Calibri"/>
                <w:color w:val="000000"/>
                <w:sz w:val="22"/>
                <w:szCs w:val="22"/>
              </w:rPr>
              <w:t xml:space="preserve">lne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  <w:r w:rsidRPr="008C0E3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8C0E35">
              <w:rPr>
                <w:rFonts w:ascii="Calibri" w:hAnsi="Calibri"/>
                <w:color w:val="000000"/>
                <w:sz w:val="22"/>
                <w:szCs w:val="22"/>
              </w:rPr>
              <w:t>g;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 xml:space="preserve">dokładność odczytu do 0,01 g; zakres tary do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-6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>00 g; powtarzalność do 0,0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 xml:space="preserve"> g; czas stabilizacji do 2 sek.; adiustacja automatyczna; szalka o wymiarach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 zakresie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190-200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 xml:space="preserve"> x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90-200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 xml:space="preserve"> mm, wykonana ze stali nierdzewnej; manualny system poziomowania; zasilanie sieciowe; wyświetlacz LCD z podświetleniem; interfejs RS 232; stopień ochrony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>IP 43; temperatura pracy od +10 do +40</w:t>
            </w:r>
            <w:r w:rsidRPr="00AE41B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o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;</w:t>
            </w:r>
            <w:r w:rsidRPr="00AE41B9">
              <w:rPr>
                <w:rFonts w:ascii="Calibri" w:hAnsi="Calibri"/>
                <w:color w:val="000000"/>
                <w:sz w:val="22"/>
                <w:szCs w:val="22"/>
              </w:rPr>
              <w:t xml:space="preserve"> 2 szt.</w:t>
            </w:r>
          </w:p>
        </w:tc>
        <w:tc>
          <w:tcPr>
            <w:tcW w:w="4105" w:type="dxa"/>
            <w:shd w:val="clear" w:color="auto" w:fill="auto"/>
          </w:tcPr>
          <w:p w14:paraId="773D2715" w14:textId="77777777" w:rsidR="00AF3964" w:rsidRPr="008C4F31" w:rsidRDefault="00AF3964" w:rsidP="007320A1">
            <w:pPr>
              <w:rPr>
                <w:rFonts w:cs="Calibri"/>
                <w:color w:val="000000"/>
              </w:rPr>
            </w:pPr>
          </w:p>
        </w:tc>
      </w:tr>
      <w:tr w:rsidR="00766DBB" w:rsidRPr="008C4F31" w14:paraId="65BECD5E" w14:textId="77777777" w:rsidTr="00472AFE">
        <w:trPr>
          <w:trHeight w:val="650"/>
        </w:trPr>
        <w:tc>
          <w:tcPr>
            <w:tcW w:w="540" w:type="dxa"/>
            <w:shd w:val="clear" w:color="auto" w:fill="auto"/>
          </w:tcPr>
          <w:p w14:paraId="3F7DD000" w14:textId="0C94FDDD" w:rsidR="00766DBB" w:rsidRPr="008C4F31" w:rsidRDefault="00637CC1" w:rsidP="007320A1">
            <w:pPr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4417" w:type="dxa"/>
            <w:shd w:val="clear" w:color="auto" w:fill="auto"/>
          </w:tcPr>
          <w:p w14:paraId="58A15861" w14:textId="381970FB" w:rsidR="00766DBB" w:rsidRPr="00446C19" w:rsidRDefault="00766DBB" w:rsidP="00902D2F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446C1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Binokular cyfrowy jednotorowy, ekran 7 cali z kamer</w:t>
            </w:r>
            <w:r w:rsidR="00446C1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ą</w:t>
            </w:r>
            <w:r w:rsidRPr="00446C1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12 mpix,</w:t>
            </w:r>
            <w:r w:rsidR="00446C19" w:rsidRPr="00446C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</w:t>
            </w:r>
            <w:r w:rsidR="00446C19" w:rsidRPr="00446C19">
              <w:rPr>
                <w:rFonts w:asciiTheme="minorHAnsi" w:hAnsiTheme="minorHAnsi" w:cstheme="minorHAnsi"/>
                <w:sz w:val="22"/>
                <w:szCs w:val="22"/>
              </w:rPr>
              <w:t>aksymalne powiększenie cyfrowe: 1200 x, maksymalne powiększenie optyczne: 300 x, minimalne powiększenie optyczne: 4 x;  rodzaj podświetlenia próbki: światło odbite, światło przechodzące; rejestracja sekwencji wideo w rozdzielczości HD/Full HD, format MP4; bezstopniowo regulowany polaryzator do tłumienia zakłóceń światła; zasilacz USB 5 V; kabel mini USB do zasilania i podłączenia do komputera; kabel wideo, wtyk jack (3,5 mm na 1x Cinch/RCA); płyta CD z oprogramowaniem na PC; szablon do kalibracji; zaciski do mocowania przedmiotów</w:t>
            </w:r>
            <w:r w:rsidR="00446C1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446C1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515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4105" w:type="dxa"/>
            <w:shd w:val="clear" w:color="auto" w:fill="auto"/>
          </w:tcPr>
          <w:p w14:paraId="40C87860" w14:textId="77777777" w:rsidR="00766DBB" w:rsidRPr="008C4F31" w:rsidRDefault="00766DBB" w:rsidP="007320A1">
            <w:pPr>
              <w:rPr>
                <w:rFonts w:cs="Calibri"/>
                <w:color w:val="000000"/>
              </w:rPr>
            </w:pPr>
          </w:p>
        </w:tc>
      </w:tr>
      <w:tr w:rsidR="00446C19" w:rsidRPr="008C4F31" w14:paraId="69DAC77C" w14:textId="77777777" w:rsidTr="00472AFE">
        <w:trPr>
          <w:trHeight w:val="650"/>
        </w:trPr>
        <w:tc>
          <w:tcPr>
            <w:tcW w:w="540" w:type="dxa"/>
            <w:shd w:val="clear" w:color="auto" w:fill="auto"/>
          </w:tcPr>
          <w:p w14:paraId="2D9E9F41" w14:textId="68C41197" w:rsidR="00446C19" w:rsidRPr="008C4F31" w:rsidRDefault="00637CC1" w:rsidP="007320A1">
            <w:pPr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4417" w:type="dxa"/>
            <w:shd w:val="clear" w:color="auto" w:fill="auto"/>
          </w:tcPr>
          <w:p w14:paraId="3950421A" w14:textId="5B1528C1" w:rsidR="00446C19" w:rsidRPr="00446C19" w:rsidRDefault="00446C19" w:rsidP="00446C19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446C1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Binokular  dwutorowy z kamerą - matryca powyżej 12 mpix; </w:t>
            </w:r>
            <w:r w:rsidRPr="00446C1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statyw z podwójnymi źródłami światła (odbite i przechodzące), </w:t>
            </w:r>
            <w:r w:rsidRPr="00446C19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 xml:space="preserve">z systemem kontroli ostrości na łożyskach kulkowych; okulary szerokopolowe; korekcja dioptrii: +/-5 dioptrii; tubus binokularny, 45°, rozstaw źrenic 54-74mm; zakres powiększeń: od 8x do 35 x; średnica pola obiektu: 6,6 mm do 28,5 mm; sterowanie oświetlenia: odbite/przechodzące/mieszane, sterowanie poprzez przyciski w podstawie; żródło światła - </w:t>
            </w:r>
            <w:r w:rsidRPr="00446C19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diody LED o żywotności</w:t>
            </w:r>
            <w:r w:rsidR="008C6C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446C19">
              <w:rPr>
                <w:rFonts w:asciiTheme="minorHAnsi" w:eastAsia="Calibri" w:hAnsiTheme="minorHAnsi" w:cstheme="minorHAnsi"/>
                <w:sz w:val="22"/>
                <w:szCs w:val="22"/>
              </w:rPr>
              <w:t>min. 25.000 godzin; 1 szt.</w:t>
            </w:r>
          </w:p>
        </w:tc>
        <w:tc>
          <w:tcPr>
            <w:tcW w:w="4105" w:type="dxa"/>
            <w:shd w:val="clear" w:color="auto" w:fill="auto"/>
          </w:tcPr>
          <w:p w14:paraId="5704AFD8" w14:textId="77777777" w:rsidR="00446C19" w:rsidRPr="008C4F31" w:rsidRDefault="00446C19" w:rsidP="007320A1">
            <w:pPr>
              <w:rPr>
                <w:rFonts w:cs="Calibri"/>
                <w:color w:val="000000"/>
              </w:rPr>
            </w:pPr>
          </w:p>
        </w:tc>
      </w:tr>
      <w:tr w:rsidR="00446C19" w:rsidRPr="008C4F31" w14:paraId="58C96A6A" w14:textId="77777777" w:rsidTr="00472AFE">
        <w:trPr>
          <w:trHeight w:val="650"/>
        </w:trPr>
        <w:tc>
          <w:tcPr>
            <w:tcW w:w="540" w:type="dxa"/>
            <w:shd w:val="clear" w:color="auto" w:fill="auto"/>
          </w:tcPr>
          <w:p w14:paraId="68BAB92B" w14:textId="6F82285B" w:rsidR="00446C19" w:rsidRPr="008C4F31" w:rsidRDefault="00637CC1" w:rsidP="007320A1">
            <w:pPr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4417" w:type="dxa"/>
            <w:shd w:val="clear" w:color="auto" w:fill="auto"/>
          </w:tcPr>
          <w:p w14:paraId="5E5E8554" w14:textId="438FB183" w:rsidR="00446C19" w:rsidRPr="00902D2F" w:rsidRDefault="00446C19" w:rsidP="00010900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A</w:t>
            </w:r>
            <w:r w:rsidRPr="00902D2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parat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fotograficzny</w:t>
            </w:r>
            <w:r w:rsidRPr="00902D2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cyfrowy</w:t>
            </w:r>
            <w:r w:rsidR="000F52C2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, wbudowany stabilizator obrazu, nagrywanie filmów 4K, komunikacja Bluetooth, czułość ISO powyżem 50000, wielopunktowy pomiar ostrości, możliwość wyboru trybów automatycznych lub ręcznych, masa korpusu poniżej 700 gramów, </w:t>
            </w:r>
            <w:r w:rsidR="000F52C2" w:rsidRPr="00902D2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matryca </w:t>
            </w:r>
            <w:r w:rsidR="000F52C2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min.</w:t>
            </w:r>
            <w:r w:rsidR="000F52C2" w:rsidRPr="00902D2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12 mpix</w:t>
            </w:r>
            <w:r w:rsidR="000F52C2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CMOS 35,9 x 23,9 mm, </w:t>
            </w:r>
            <w:r w:rsidRPr="00902D2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wymienny obiektyw</w:t>
            </w:r>
            <w:r w:rsidR="003557B6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24-70 mm</w:t>
            </w:r>
            <w:r w:rsidRPr="00902D2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,</w:t>
            </w:r>
            <w:r w:rsidR="000F52C2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mocowanie kompatybilne z korpusem, uszczelniona i wzmocniona obudowa, stała jasność, masa obiektywu poniżej 850 gramów, pokrowiec i osłona przeciwsłoneczna, torba fotograficzna do korpusu i obiektywu</w:t>
            </w:r>
            <w:r w:rsidR="00010900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; </w:t>
            </w:r>
            <w:r w:rsidRPr="00902D2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4105" w:type="dxa"/>
            <w:shd w:val="clear" w:color="auto" w:fill="auto"/>
          </w:tcPr>
          <w:p w14:paraId="6B2DD821" w14:textId="77777777" w:rsidR="00446C19" w:rsidRPr="008C4F31" w:rsidRDefault="00446C19" w:rsidP="007320A1">
            <w:pPr>
              <w:rPr>
                <w:rFonts w:cs="Calibri"/>
                <w:color w:val="000000"/>
              </w:rPr>
            </w:pPr>
          </w:p>
        </w:tc>
      </w:tr>
      <w:tr w:rsidR="00010900" w:rsidRPr="008C4F31" w14:paraId="48FD08ED" w14:textId="77777777" w:rsidTr="00472AFE">
        <w:trPr>
          <w:trHeight w:val="650"/>
        </w:trPr>
        <w:tc>
          <w:tcPr>
            <w:tcW w:w="540" w:type="dxa"/>
            <w:shd w:val="clear" w:color="auto" w:fill="auto"/>
          </w:tcPr>
          <w:p w14:paraId="4141C8D4" w14:textId="625C75C8" w:rsidR="00010900" w:rsidRPr="008C4F31" w:rsidRDefault="00637CC1" w:rsidP="007320A1">
            <w:pPr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4417" w:type="dxa"/>
            <w:shd w:val="clear" w:color="auto" w:fill="auto"/>
          </w:tcPr>
          <w:p w14:paraId="13C23866" w14:textId="0374F689" w:rsidR="00010900" w:rsidRDefault="00472AFE" w:rsidP="00010900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K</w:t>
            </w:r>
            <w:r w:rsidR="00010900" w:rsidRPr="00902D2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omputer przenośny, przekątna ekranu 17 cali, ekran HD,</w:t>
            </w:r>
            <w:r w:rsidR="003557B6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dysk SSD</w:t>
            </w:r>
            <w:r w:rsidR="00CC3670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min. 1000 GB, pamięć RAM min. 16 G</w:t>
            </w:r>
            <w:r w:rsidR="00E2721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B</w:t>
            </w:r>
            <w:r w:rsidR="00CC3670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,</w:t>
            </w:r>
            <w:r w:rsidR="00E2721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procesor min. 10-rdzeniowy, obsługa co najmniej 15 wątków jednocześnie, wbydowane głośniki stereo, co najmniej jeden mikrofon, wyjście słuchawkowe i wejście mikrofonowe, możliwość przywrócenia systemu operacyjnego z dysku, pojemność baterii min. 8000 mAh, kamera internetowa, czytnik linii papilarnych,</w:t>
            </w:r>
            <w:r w:rsidR="00010900" w:rsidRPr="00902D2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wyposażony w złączne HDMI, co najmniej trzy porty USB,</w:t>
            </w:r>
            <w:r w:rsidR="00E2721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masa do 2,6 kg,</w:t>
            </w:r>
            <w:r w:rsidR="00010900" w:rsidRPr="00902D2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oprogramowanie Windows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11;</w:t>
            </w:r>
            <w:r w:rsidR="00010900" w:rsidRPr="00902D2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5 kpl.</w:t>
            </w:r>
          </w:p>
        </w:tc>
        <w:tc>
          <w:tcPr>
            <w:tcW w:w="4105" w:type="dxa"/>
            <w:shd w:val="clear" w:color="auto" w:fill="auto"/>
          </w:tcPr>
          <w:p w14:paraId="1CFA4A31" w14:textId="77777777" w:rsidR="00010900" w:rsidRPr="00CC3670" w:rsidRDefault="00010900" w:rsidP="007320A1">
            <w:pPr>
              <w:rPr>
                <w:rFonts w:cs="Calibri"/>
                <w:color w:val="000000"/>
                <w:lang w:val="cs-CZ"/>
              </w:rPr>
            </w:pPr>
          </w:p>
        </w:tc>
      </w:tr>
      <w:tr w:rsidR="00902D2F" w:rsidRPr="008C4F31" w14:paraId="6186ED30" w14:textId="77777777" w:rsidTr="00472AFE">
        <w:trPr>
          <w:trHeight w:val="650"/>
        </w:trPr>
        <w:tc>
          <w:tcPr>
            <w:tcW w:w="540" w:type="dxa"/>
            <w:shd w:val="clear" w:color="auto" w:fill="auto"/>
          </w:tcPr>
          <w:p w14:paraId="04DDAB43" w14:textId="5DBAD9E7" w:rsidR="00902D2F" w:rsidRPr="008C4F31" w:rsidRDefault="00637CC1" w:rsidP="007320A1">
            <w:pPr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4417" w:type="dxa"/>
            <w:shd w:val="clear" w:color="auto" w:fill="auto"/>
          </w:tcPr>
          <w:p w14:paraId="46FFD7DF" w14:textId="409E1B9E" w:rsidR="00902D2F" w:rsidRDefault="00010900" w:rsidP="005F7B84">
            <w:pPr>
              <w:pStyle w:val="Akapitzlist"/>
              <w:spacing w:after="160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Z</w:t>
            </w:r>
            <w:r w:rsidR="00902D2F" w:rsidRPr="00902D2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estaw do cyfrowej analizy obrazu: ekran </w:t>
            </w:r>
            <w:r w:rsidR="005F337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LED</w:t>
            </w:r>
            <w:r w:rsidR="00902D2F" w:rsidRPr="00902D2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- przekątna powyżej 50 cali,</w:t>
            </w:r>
            <w:r w:rsidR="009B5842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r w:rsidR="005F337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proporcje 16:9, czas reakcji poniżej 10 ms, rozdzielczość 4K, minimum dwa złącza HDMI;</w:t>
            </w:r>
            <w:r w:rsidR="00902D2F" w:rsidRPr="00902D2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wizualizer A4,</w:t>
            </w:r>
            <w:r w:rsidR="005F337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technologia LED, złącza HDMI oraz USB, czytnik kart SDHC, zoom optyczny;</w:t>
            </w:r>
            <w:r w:rsidR="00902D2F" w:rsidRPr="00902D2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projektor przenośny full HD</w:t>
            </w:r>
            <w:r w:rsidR="005F337E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, wielkość obrazu min. 100 cali, głośniki, żywotność lampy powyżej 10000 godzin, sterowanie pilotem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; </w:t>
            </w:r>
            <w:r w:rsidR="00902D2F" w:rsidRPr="00902D2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1 kpl</w:t>
            </w:r>
            <w:r w:rsidR="00A2602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5" w:type="dxa"/>
            <w:shd w:val="clear" w:color="auto" w:fill="auto"/>
          </w:tcPr>
          <w:p w14:paraId="60095822" w14:textId="77777777" w:rsidR="00902D2F" w:rsidRPr="008C4F31" w:rsidRDefault="00902D2F" w:rsidP="007320A1">
            <w:pPr>
              <w:rPr>
                <w:rFonts w:cs="Calibri"/>
                <w:color w:val="000000"/>
              </w:rPr>
            </w:pPr>
            <w:bookmarkStart w:id="0" w:name="_GoBack"/>
            <w:bookmarkEnd w:id="0"/>
          </w:p>
        </w:tc>
      </w:tr>
    </w:tbl>
    <w:p w14:paraId="532BCD84" w14:textId="77777777" w:rsidR="00695FE9" w:rsidRDefault="00695FE9" w:rsidP="00032EA9">
      <w:pPr>
        <w:rPr>
          <w:b/>
          <w:u w:val="single"/>
        </w:rPr>
      </w:pPr>
    </w:p>
    <w:p w14:paraId="0EDCAD67" w14:textId="3B0F408A" w:rsidR="00032EA9" w:rsidRPr="00D35413" w:rsidRDefault="00594AE9" w:rsidP="00032EA9">
      <w:pPr>
        <w:rPr>
          <w:rFonts w:eastAsia="Times New Roman" w:cstheme="minorHAnsi"/>
        </w:rPr>
      </w:pPr>
      <w:r w:rsidRPr="00D35413">
        <w:rPr>
          <w:b/>
          <w:u w:val="single"/>
        </w:rPr>
        <w:t xml:space="preserve">Miejsce dostawy: </w:t>
      </w:r>
      <w:r w:rsidR="00032EA9" w:rsidRPr="00D35413">
        <w:rPr>
          <w:rFonts w:eastAsia="Times New Roman" w:cstheme="minorHAnsi"/>
        </w:rPr>
        <w:t>Zakład Doświadczalny Technologii Produkcji Pasz i Akwakultury w Muchocinie</w:t>
      </w:r>
    </w:p>
    <w:p w14:paraId="0EDCAD68" w14:textId="5CAF3AF8" w:rsidR="00594AE9" w:rsidRDefault="00032EA9" w:rsidP="00032EA9">
      <w:pPr>
        <w:rPr>
          <w:rFonts w:eastAsia="Times New Roman" w:cstheme="minorHAnsi"/>
        </w:rPr>
      </w:pPr>
      <w:r w:rsidRPr="00D35413">
        <w:rPr>
          <w:rFonts w:eastAsia="Times New Roman" w:cstheme="minorHAnsi"/>
        </w:rPr>
        <w:t>Muchocin 20, 64-400 Międzychód</w:t>
      </w:r>
      <w:r w:rsidR="00695FE9">
        <w:rPr>
          <w:rFonts w:eastAsia="Times New Roman" w:cstheme="minorHAnsi"/>
        </w:rPr>
        <w:t>.</w:t>
      </w:r>
    </w:p>
    <w:p w14:paraId="6F3849B3" w14:textId="77777777" w:rsidR="00F47A03" w:rsidRDefault="00695FE9" w:rsidP="00695FE9">
      <w:pPr>
        <w:ind w:left="0" w:firstLine="0"/>
      </w:pPr>
      <w:r>
        <w:t xml:space="preserve">Wykonawca </w:t>
      </w:r>
      <w:r w:rsidR="00F47A03">
        <w:t>wy</w:t>
      </w:r>
      <w:r>
        <w:t>kona</w:t>
      </w:r>
      <w:r w:rsidR="00F47A03">
        <w:t xml:space="preserve"> k</w:t>
      </w:r>
      <w:r>
        <w:t>ompletacj</w:t>
      </w:r>
      <w:r w:rsidR="00F47A03">
        <w:t>ę</w:t>
      </w:r>
      <w:r>
        <w:t xml:space="preserve"> towaru</w:t>
      </w:r>
      <w:r w:rsidR="00F47A03">
        <w:t xml:space="preserve"> oraz pokryje koszty</w:t>
      </w:r>
      <w:r>
        <w:t xml:space="preserve"> transport</w:t>
      </w:r>
      <w:r w:rsidR="00F47A03">
        <w:t>u</w:t>
      </w:r>
      <w:r>
        <w:t xml:space="preserve"> i wniesieni</w:t>
      </w:r>
      <w:r w:rsidR="00F47A03">
        <w:t>a</w:t>
      </w:r>
      <w:r>
        <w:t>.</w:t>
      </w:r>
    </w:p>
    <w:p w14:paraId="65F90049" w14:textId="5E65CBF1" w:rsidR="00695FE9" w:rsidRPr="00D35413" w:rsidRDefault="008C4F31" w:rsidP="00695FE9">
      <w:pPr>
        <w:ind w:left="0" w:firstLine="0"/>
      </w:pPr>
      <w:r>
        <w:t>Wykonawca przeprowadzi u</w:t>
      </w:r>
      <w:r w:rsidR="00695FE9">
        <w:t xml:space="preserve">ruchomienie, instruktaż użytkowania oraz sprawdzenie poprawności działania maszyn i urządzeń.   </w:t>
      </w:r>
    </w:p>
    <w:p w14:paraId="0EDCAD69" w14:textId="6E0FB8D7" w:rsidR="00594AE9" w:rsidRDefault="00594AE9" w:rsidP="00594AE9"/>
    <w:p w14:paraId="6C33127A" w14:textId="77777777" w:rsidR="00695FE9" w:rsidRPr="00594AE9" w:rsidRDefault="00695FE9" w:rsidP="00594AE9"/>
    <w:p w14:paraId="0EDCAE1B" w14:textId="77777777" w:rsidR="00547AD8" w:rsidRDefault="00594AE9" w:rsidP="00594AE9">
      <w:r>
        <w:t xml:space="preserve">…………………dnia…………… </w:t>
      </w:r>
      <w:r>
        <w:tab/>
      </w:r>
      <w:r>
        <w:tab/>
      </w:r>
    </w:p>
    <w:sectPr w:rsidR="00547A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CAE1E" w14:textId="77777777" w:rsidR="00242EA0" w:rsidRDefault="00242EA0" w:rsidP="00032EA9">
      <w:r>
        <w:separator/>
      </w:r>
    </w:p>
  </w:endnote>
  <w:endnote w:type="continuationSeparator" w:id="0">
    <w:p w14:paraId="0EDCAE1F" w14:textId="77777777" w:rsidR="00242EA0" w:rsidRDefault="00242EA0" w:rsidP="0003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CAE1C" w14:textId="77777777" w:rsidR="00242EA0" w:rsidRDefault="00242EA0" w:rsidP="00032EA9">
      <w:r>
        <w:separator/>
      </w:r>
    </w:p>
  </w:footnote>
  <w:footnote w:type="continuationSeparator" w:id="0">
    <w:p w14:paraId="0EDCAE1D" w14:textId="77777777" w:rsidR="00242EA0" w:rsidRDefault="00242EA0" w:rsidP="0003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CAE20" w14:textId="77777777" w:rsidR="00032EA9" w:rsidRDefault="00032EA9">
    <w:pPr>
      <w:pStyle w:val="Nagwek"/>
    </w:pPr>
    <w:r>
      <w:rPr>
        <w:noProof/>
        <w:lang w:eastAsia="pl-PL"/>
      </w:rPr>
      <w:drawing>
        <wp:inline distT="0" distB="0" distL="0" distR="0" wp14:anchorId="0EDCAE21" wp14:editId="0EDCAE22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1C5E"/>
    <w:multiLevelType w:val="hybridMultilevel"/>
    <w:tmpl w:val="F926DB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1616E"/>
    <w:multiLevelType w:val="hybridMultilevel"/>
    <w:tmpl w:val="FEF23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03999"/>
    <w:multiLevelType w:val="hybridMultilevel"/>
    <w:tmpl w:val="E834C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E9"/>
    <w:rsid w:val="00010900"/>
    <w:rsid w:val="00032EA9"/>
    <w:rsid w:val="00045884"/>
    <w:rsid w:val="000F52C2"/>
    <w:rsid w:val="001A759C"/>
    <w:rsid w:val="001C7860"/>
    <w:rsid w:val="001E7E0B"/>
    <w:rsid w:val="00231BF9"/>
    <w:rsid w:val="00242EA0"/>
    <w:rsid w:val="002E4774"/>
    <w:rsid w:val="0034569A"/>
    <w:rsid w:val="003557B6"/>
    <w:rsid w:val="003678DC"/>
    <w:rsid w:val="00384265"/>
    <w:rsid w:val="00395D83"/>
    <w:rsid w:val="003A3DAF"/>
    <w:rsid w:val="0043250C"/>
    <w:rsid w:val="00446C19"/>
    <w:rsid w:val="00472AFE"/>
    <w:rsid w:val="004814C5"/>
    <w:rsid w:val="004B089F"/>
    <w:rsid w:val="004F32A5"/>
    <w:rsid w:val="0053458E"/>
    <w:rsid w:val="00547AD8"/>
    <w:rsid w:val="00567BB9"/>
    <w:rsid w:val="00594AE9"/>
    <w:rsid w:val="00595BD1"/>
    <w:rsid w:val="005F337E"/>
    <w:rsid w:val="005F7B84"/>
    <w:rsid w:val="0063336E"/>
    <w:rsid w:val="00637CC1"/>
    <w:rsid w:val="00695FE9"/>
    <w:rsid w:val="006A697E"/>
    <w:rsid w:val="006D3492"/>
    <w:rsid w:val="00766DBB"/>
    <w:rsid w:val="007829F3"/>
    <w:rsid w:val="007A7145"/>
    <w:rsid w:val="00853DB9"/>
    <w:rsid w:val="0088339A"/>
    <w:rsid w:val="008B4109"/>
    <w:rsid w:val="008C4F31"/>
    <w:rsid w:val="008C6CD1"/>
    <w:rsid w:val="008F4D65"/>
    <w:rsid w:val="00902D2F"/>
    <w:rsid w:val="009B5842"/>
    <w:rsid w:val="009E6DD6"/>
    <w:rsid w:val="00A02D7D"/>
    <w:rsid w:val="00A26025"/>
    <w:rsid w:val="00A332C5"/>
    <w:rsid w:val="00A41B8D"/>
    <w:rsid w:val="00A50FF8"/>
    <w:rsid w:val="00AA1059"/>
    <w:rsid w:val="00AD264E"/>
    <w:rsid w:val="00AF3964"/>
    <w:rsid w:val="00AF6B97"/>
    <w:rsid w:val="00B0013B"/>
    <w:rsid w:val="00B4412F"/>
    <w:rsid w:val="00B70AA2"/>
    <w:rsid w:val="00BE36AD"/>
    <w:rsid w:val="00C0057C"/>
    <w:rsid w:val="00C25B51"/>
    <w:rsid w:val="00C31BB3"/>
    <w:rsid w:val="00C50324"/>
    <w:rsid w:val="00C531B7"/>
    <w:rsid w:val="00C67C75"/>
    <w:rsid w:val="00C73A46"/>
    <w:rsid w:val="00C9144C"/>
    <w:rsid w:val="00CC3670"/>
    <w:rsid w:val="00CD7031"/>
    <w:rsid w:val="00CE53E0"/>
    <w:rsid w:val="00D120BC"/>
    <w:rsid w:val="00D309A8"/>
    <w:rsid w:val="00D35413"/>
    <w:rsid w:val="00D47D87"/>
    <w:rsid w:val="00D8173D"/>
    <w:rsid w:val="00DA1411"/>
    <w:rsid w:val="00DD01A3"/>
    <w:rsid w:val="00DF4ED4"/>
    <w:rsid w:val="00E252EF"/>
    <w:rsid w:val="00E27215"/>
    <w:rsid w:val="00E765C6"/>
    <w:rsid w:val="00F43129"/>
    <w:rsid w:val="00F473AA"/>
    <w:rsid w:val="00F47A03"/>
    <w:rsid w:val="00F515CE"/>
    <w:rsid w:val="00F5328E"/>
    <w:rsid w:val="00F767A3"/>
    <w:rsid w:val="00F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EDCAD59"/>
  <w15:chartTrackingRefBased/>
  <w15:docId w15:val="{677E3615-9333-46BC-A344-CF8140E7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4AE9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EA9"/>
  </w:style>
  <w:style w:type="paragraph" w:styleId="Stopka">
    <w:name w:val="footer"/>
    <w:basedOn w:val="Normalny"/>
    <w:link w:val="Stopka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EA9"/>
  </w:style>
  <w:style w:type="character" w:customStyle="1" w:styleId="markedcontent">
    <w:name w:val="markedcontent"/>
    <w:basedOn w:val="Domylnaczcionkaakapitu"/>
    <w:rsid w:val="0053458E"/>
  </w:style>
  <w:style w:type="character" w:styleId="Pogrubienie">
    <w:name w:val="Strong"/>
    <w:uiPriority w:val="22"/>
    <w:qFormat/>
    <w:rsid w:val="00A332C5"/>
    <w:rPr>
      <w:b/>
      <w:bCs/>
    </w:rPr>
  </w:style>
  <w:style w:type="paragraph" w:styleId="Akapitzlist">
    <w:name w:val="List Paragraph"/>
    <w:basedOn w:val="Normalny"/>
    <w:uiPriority w:val="34"/>
    <w:qFormat/>
    <w:rsid w:val="00A332C5"/>
    <w:pPr>
      <w:ind w:left="720" w:firstLine="0"/>
      <w:contextualSpacing/>
      <w:jc w:val="left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customStyle="1" w:styleId="bezwciec">
    <w:name w:val="bezwciec"/>
    <w:basedOn w:val="Normalny"/>
    <w:rsid w:val="00A332C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eaturename">
    <w:name w:val="feature_name"/>
    <w:basedOn w:val="Domylnaczcionkaakapitu"/>
    <w:rsid w:val="00F7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Kaczmarek</dc:creator>
  <cp:keywords/>
  <dc:description/>
  <cp:lastModifiedBy>Jan Mazurkiewicz</cp:lastModifiedBy>
  <cp:revision>58</cp:revision>
  <dcterms:created xsi:type="dcterms:W3CDTF">2023-04-19T05:38:00Z</dcterms:created>
  <dcterms:modified xsi:type="dcterms:W3CDTF">2023-06-08T15:36:00Z</dcterms:modified>
</cp:coreProperties>
</file>