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C927" w14:textId="77777777"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14:paraId="0BA9A28E" w14:textId="77777777" w:rsidR="005E3E68" w:rsidRDefault="005E3E68" w:rsidP="005E3E68">
      <w:pPr>
        <w:pStyle w:val="Styl1"/>
      </w:pPr>
    </w:p>
    <w:p w14:paraId="05CDDCB5" w14:textId="77777777" w:rsidR="005E3E68" w:rsidRDefault="005E3E68" w:rsidP="005E3E68">
      <w:pPr>
        <w:pStyle w:val="Styl1"/>
      </w:pPr>
    </w:p>
    <w:p w14:paraId="4598CB4B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14:paraId="11BBD74A" w14:textId="77777777" w:rsidR="005E3E68" w:rsidRDefault="005E3E68" w:rsidP="005E3E68">
      <w:pPr>
        <w:pStyle w:val="Styl1"/>
      </w:pPr>
    </w:p>
    <w:p w14:paraId="6E3ED998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14:paraId="7C2E8065" w14:textId="77777777" w:rsidR="005E3E68" w:rsidRDefault="005E3E68" w:rsidP="005E3E68">
      <w:pPr>
        <w:pStyle w:val="Styl1"/>
      </w:pPr>
    </w:p>
    <w:p w14:paraId="1F009D5A" w14:textId="4EC2469B"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C26136">
        <w:t xml:space="preserve">anego mechanicznie o grubości </w:t>
      </w:r>
      <w:r w:rsidR="00900C35">
        <w:t>15</w:t>
      </w:r>
      <w:r w:rsidR="00A43A0F">
        <w:t>cm</w:t>
      </w:r>
      <w:r>
        <w:t>.</w:t>
      </w:r>
    </w:p>
    <w:p w14:paraId="75A14681" w14:textId="77777777" w:rsidR="005E3E68" w:rsidRDefault="005E3E68" w:rsidP="005E3E68">
      <w:pPr>
        <w:pStyle w:val="Styl1"/>
      </w:pPr>
    </w:p>
    <w:p w14:paraId="471AC7A3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14:paraId="69698CF5" w14:textId="77777777" w:rsidR="005E3E68" w:rsidRDefault="005E3E68" w:rsidP="005E3E68">
      <w:pPr>
        <w:pStyle w:val="Styl1"/>
      </w:pPr>
    </w:p>
    <w:p w14:paraId="11517D8E" w14:textId="77777777"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14:paraId="7E4A6F4C" w14:textId="77777777" w:rsidR="005E3E68" w:rsidRDefault="005E3E68" w:rsidP="005E3E68">
      <w:pPr>
        <w:pStyle w:val="Styl1"/>
      </w:pPr>
    </w:p>
    <w:p w14:paraId="089CB817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14:paraId="7F4EF908" w14:textId="77777777" w:rsidR="005E3E68" w:rsidRDefault="005E3E68" w:rsidP="005E3E68">
      <w:pPr>
        <w:pStyle w:val="Styl1"/>
        <w:rPr>
          <w:b/>
          <w:bCs/>
        </w:rPr>
      </w:pPr>
    </w:p>
    <w:p w14:paraId="13B4AE55" w14:textId="77777777"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14:paraId="1590A143" w14:textId="77777777" w:rsidR="005E3E68" w:rsidRDefault="005E3E68" w:rsidP="005E3E68">
      <w:pPr>
        <w:pStyle w:val="Styl1"/>
      </w:pPr>
    </w:p>
    <w:p w14:paraId="68874B86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14:paraId="296938C2" w14:textId="77777777" w:rsidR="005E3E68" w:rsidRDefault="005E3E68" w:rsidP="005E3E68">
      <w:pPr>
        <w:pStyle w:val="Styl1"/>
        <w:rPr>
          <w:b/>
          <w:bCs/>
        </w:rPr>
      </w:pPr>
    </w:p>
    <w:p w14:paraId="44B34597" w14:textId="77777777"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14:paraId="2C8186E7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14:paraId="0021059E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Kruszywo łamane zwykłe - kruszywo uzyskane w wyniku co najmniej jednokrotnego przekruszenia skał litych i rozsiania na frakcje lub grupy frakcji, charakteryzujące się ziarnami ostrokrawędziastymi o nieforemnych kształtach.</w:t>
      </w:r>
    </w:p>
    <w:p w14:paraId="0DE12CA2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>Tłuczeń - kruszywo łamane zwykłe o wielkości ziarn od 31,5 mm do 63 mm.</w:t>
      </w:r>
    </w:p>
    <w:p w14:paraId="1279F91B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>Kliniec - kruszywo łamane zwykłe o wielkości ziarn od 4 mm do 31,5 mm.</w:t>
      </w:r>
    </w:p>
    <w:p w14:paraId="6C562FC4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>Miał - kruszywo łamane zwykłe o wielkości ziarn do 4 mm.</w:t>
      </w:r>
    </w:p>
    <w:p w14:paraId="417375FC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>łamanego kruszywa zwykłego, charakteryzujące się chropowatymi powierzchniami i foremnym kształtem ziarn o stępionych krawędziach i narożach, o wielkości ziarn od 0,075 mm do 4 mm.</w:t>
      </w:r>
    </w:p>
    <w:p w14:paraId="0582134D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>Piasek - kruszywo naturalne o wielkości ziarn do 2 mm.</w:t>
      </w:r>
    </w:p>
    <w:p w14:paraId="6A2B20C6" w14:textId="77777777"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14:paraId="139547CA" w14:textId="77777777" w:rsidR="005E3E68" w:rsidRDefault="005E3E68" w:rsidP="005E3E68">
      <w:pPr>
        <w:pStyle w:val="Styl1"/>
        <w:rPr>
          <w:b/>
          <w:bCs/>
        </w:rPr>
      </w:pPr>
    </w:p>
    <w:p w14:paraId="60EFCD86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14:paraId="6AAC6FE9" w14:textId="77777777" w:rsidR="005E3E68" w:rsidRDefault="005E3E68" w:rsidP="005E3E68">
      <w:pPr>
        <w:pStyle w:val="Styl1"/>
      </w:pPr>
    </w:p>
    <w:p w14:paraId="744E1C80" w14:textId="77777777" w:rsidR="005E3E68" w:rsidRDefault="005E3E68" w:rsidP="005E3E68">
      <w:pPr>
        <w:pStyle w:val="Styl1"/>
      </w:pPr>
      <w:r>
        <w:t>Ogólne wymagania dotyczące robót podano w ST DM.00.00.00 „Wymagania ogólne”.</w:t>
      </w:r>
    </w:p>
    <w:p w14:paraId="73A8590D" w14:textId="77777777" w:rsidR="00A43A0F" w:rsidRDefault="00A43A0F" w:rsidP="005E3E68">
      <w:pPr>
        <w:pStyle w:val="Styl1"/>
        <w:rPr>
          <w:b/>
          <w:bCs/>
        </w:rPr>
      </w:pPr>
    </w:p>
    <w:p w14:paraId="1C6D3FFC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14:paraId="263C6E8E" w14:textId="77777777" w:rsidR="005E3E68" w:rsidRDefault="005E3E68" w:rsidP="005E3E68">
      <w:pPr>
        <w:pStyle w:val="Styl1"/>
      </w:pPr>
    </w:p>
    <w:p w14:paraId="776A066A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14:paraId="3984FFA1" w14:textId="77777777" w:rsidR="005E3E68" w:rsidRDefault="005E3E68" w:rsidP="005E3E68">
      <w:pPr>
        <w:pStyle w:val="Styl1"/>
      </w:pPr>
    </w:p>
    <w:p w14:paraId="3E4F855A" w14:textId="77777777" w:rsidR="005E3E68" w:rsidRDefault="005E3E68" w:rsidP="005E3E68">
      <w:pPr>
        <w:pStyle w:val="Styl1"/>
      </w:pPr>
      <w:r>
        <w:t>Ogólne wymagania dotyczące sprzętu podano w ST DM.00.00.00 „Wymagania ogólne".</w:t>
      </w:r>
    </w:p>
    <w:p w14:paraId="0BBB9A93" w14:textId="77777777" w:rsidR="005E3E68" w:rsidRDefault="005E3E68" w:rsidP="005E3E68">
      <w:pPr>
        <w:pStyle w:val="Styl1"/>
      </w:pPr>
    </w:p>
    <w:p w14:paraId="3725BAD1" w14:textId="77777777" w:rsidR="005E3E68" w:rsidRDefault="005E3E68" w:rsidP="005E3E68">
      <w:pPr>
        <w:pStyle w:val="Styl1"/>
        <w:rPr>
          <w:b/>
          <w:bCs/>
        </w:rPr>
      </w:pPr>
      <w:bookmarkStart w:id="0" w:name="_Toc405274761"/>
      <w:r>
        <w:rPr>
          <w:b/>
          <w:bCs/>
        </w:rPr>
        <w:t>2.2. Materiały do wykonania warstwy wyrównawczej</w:t>
      </w:r>
    </w:p>
    <w:p w14:paraId="3D7CAD5B" w14:textId="77777777" w:rsidR="005E3E68" w:rsidRDefault="005E3E68" w:rsidP="005E3E68">
      <w:pPr>
        <w:pStyle w:val="Styl1"/>
      </w:pPr>
    </w:p>
    <w:p w14:paraId="73135632" w14:textId="77777777" w:rsidR="005E3E68" w:rsidRDefault="005E3E68" w:rsidP="005E3E68">
      <w:pPr>
        <w:pStyle w:val="Styl1"/>
      </w:pPr>
      <w:r>
        <w:t>Materiałami stosowanymi przy wykonaniu nawierzchni tłuczniowej wg PN-S-96023 są:</w:t>
      </w:r>
    </w:p>
    <w:p w14:paraId="47DEA9B6" w14:textId="77777777"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14:paraId="4421742C" w14:textId="77777777"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14:paraId="527299A5" w14:textId="77777777"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14:paraId="117D2ABB" w14:textId="77777777"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0"/>
    <w:p w14:paraId="09DD0EF8" w14:textId="77777777" w:rsidR="005E3E68" w:rsidRDefault="005E3E68" w:rsidP="005E3E68">
      <w:pPr>
        <w:pStyle w:val="Styl1"/>
        <w:rPr>
          <w:b/>
          <w:bCs/>
        </w:rPr>
      </w:pPr>
    </w:p>
    <w:p w14:paraId="0093FB11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14:paraId="48136CC7" w14:textId="77777777" w:rsidR="005E3E68" w:rsidRDefault="005E3E68" w:rsidP="005E3E68">
      <w:pPr>
        <w:pStyle w:val="Styl1"/>
      </w:pPr>
    </w:p>
    <w:p w14:paraId="2C40F193" w14:textId="77777777" w:rsidR="005E3E68" w:rsidRDefault="005E3E68" w:rsidP="005E3E68">
      <w:pPr>
        <w:pStyle w:val="Styl1"/>
      </w:pPr>
      <w:r>
        <w:t>Wymagania dla kruszywa podano w tablicach 1 i 2.</w:t>
      </w:r>
    </w:p>
    <w:p w14:paraId="52806D31" w14:textId="77777777" w:rsidR="005E3E68" w:rsidRDefault="005E3E68" w:rsidP="005E3E68">
      <w:pPr>
        <w:pStyle w:val="Styl1"/>
      </w:pPr>
    </w:p>
    <w:p w14:paraId="23E9D402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14:paraId="45C3E3B6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5C771715" w14:textId="77777777"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14:paraId="5FBD6FF9" w14:textId="77777777"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D7A2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14:paraId="36926D34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03AA2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14:paraId="32A2F109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14:paraId="3005A476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14:paraId="63831390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14:paraId="2CAB1B28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4154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AFA66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14:paraId="5F64EE73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14:paraId="3E1C91F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14:paraId="69195313" w14:textId="77777777"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14:paraId="0B94FAA3" w14:textId="77777777"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14:paraId="6D6006EB" w14:textId="77777777"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14:paraId="17F65F0F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14:paraId="61A97553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6D7CE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91CDD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922F9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14:paraId="4139353C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14:paraId="4ABC162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14:paraId="2755A57E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957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BB818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14:paraId="24F23D99" w14:textId="77777777"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14:paraId="7C31D7FE" w14:textId="77777777"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381B1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33550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D12B9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14:paraId="0F82C89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14:paraId="0E95458A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9071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40555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14:paraId="4F8D7641" w14:textId="77777777"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14:paraId="00FE766E" w14:textId="77777777"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2132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4C98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6444F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B69A8F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14:paraId="0554503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14:paraId="344447A0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97B8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4ACF5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14:paraId="300BEE59" w14:textId="77777777"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14:paraId="54C3A0C6" w14:textId="77777777"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FBC0F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B94B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9F4BEF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30F9ED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33F0B45E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14:paraId="3AA3B967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C97EC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078F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14:paraId="3277D616" w14:textId="77777777"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mniejszych niż 0,075 mm, odsianych na mokro, % (m/m), nie więcej niż:</w:t>
            </w:r>
          </w:p>
          <w:p w14:paraId="3A5CDB5D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14:paraId="175862AB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14:paraId="34CDF278" w14:textId="77777777"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14:paraId="5BDBAFD9" w14:textId="77777777"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14:paraId="15F5F1E6" w14:textId="77777777"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4DC4C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869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72449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BD563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7A1C9F6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34CDA28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E01B49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14:paraId="638392FD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14:paraId="49AADB16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14:paraId="1DDABB7E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C792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10472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44821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FF519" w14:textId="77777777"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14:paraId="7692B7DE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8A8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AD210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nieforemnych, % (m/m), nie więcej niż:</w:t>
            </w:r>
          </w:p>
          <w:p w14:paraId="55096217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14:paraId="6404E19F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085B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F8C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23AE3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3BDF0A16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14:paraId="0A427039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4C39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997A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CAF84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63EC2" w14:textId="77777777"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14:paraId="31D7E2B8" w14:textId="77777777" w:rsidR="005E3E68" w:rsidRDefault="005E3E68" w:rsidP="005E3E68"/>
    <w:p w14:paraId="42218688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14:paraId="2301FDD5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14:paraId="1B32F98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14:paraId="0D9AAB80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1F49E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14:paraId="5106956C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E73A335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14:paraId="5548F60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B135936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052515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14:paraId="7AA4D010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F39E3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7149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2E3B9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700C2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14:paraId="674182F7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F01D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F4C4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14:paraId="4B68E49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14:paraId="1217139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8007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16C94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3529F3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489711BD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05DE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6FED8B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F8B9ED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14:paraId="24017711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14:paraId="33E6283A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A3BFC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0ED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2DF5E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003FE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14:paraId="17F78D89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203C7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A071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DCE6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15930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14:paraId="4773BF61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876E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4574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2395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342EECBD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CED99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14:paraId="3E81B9F0" w14:textId="77777777" w:rsidR="005E3E68" w:rsidRDefault="005E3E68" w:rsidP="005E3E68">
      <w:pPr>
        <w:pStyle w:val="Styl1"/>
      </w:pPr>
    </w:p>
    <w:p w14:paraId="11C713E4" w14:textId="77777777"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14:paraId="1D52D44B" w14:textId="77777777" w:rsidR="005E3E68" w:rsidRDefault="005E3E68" w:rsidP="005E3E68">
      <w:pPr>
        <w:pStyle w:val="Styl1"/>
      </w:pPr>
    </w:p>
    <w:p w14:paraId="0DA6F925" w14:textId="77777777" w:rsidR="005E3E68" w:rsidRDefault="005E3E68" w:rsidP="005E3E68">
      <w:pPr>
        <w:pStyle w:val="Styl1"/>
      </w:pPr>
    </w:p>
    <w:p w14:paraId="59B0C73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14:paraId="6DD8AEAD" w14:textId="77777777" w:rsidR="005E3E68" w:rsidRDefault="005E3E68" w:rsidP="005E3E68">
      <w:pPr>
        <w:pStyle w:val="Styl1"/>
      </w:pPr>
    </w:p>
    <w:p w14:paraId="2CB2072E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14:paraId="44CA2B94" w14:textId="77777777" w:rsidR="005E3E68" w:rsidRDefault="005E3E68" w:rsidP="005E3E68">
      <w:pPr>
        <w:pStyle w:val="Styl1"/>
      </w:pPr>
    </w:p>
    <w:p w14:paraId="1AF6ABA1" w14:textId="77777777" w:rsidR="005E3E68" w:rsidRDefault="005E3E68" w:rsidP="005E3E68">
      <w:pPr>
        <w:pStyle w:val="Styl1"/>
      </w:pPr>
      <w:r>
        <w:t>Ogólne wymagania dotyczące sprzętu podano w ST DM.00.00.00 „Wymagania ogólne".</w:t>
      </w:r>
    </w:p>
    <w:p w14:paraId="0422F152" w14:textId="77777777" w:rsidR="005E3E68" w:rsidRDefault="005E3E68" w:rsidP="005E3E68">
      <w:pPr>
        <w:pStyle w:val="Styl1"/>
      </w:pPr>
    </w:p>
    <w:p w14:paraId="4B90823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14:paraId="01E19238" w14:textId="77777777" w:rsidR="005E3E68" w:rsidRDefault="005E3E68" w:rsidP="005E3E68">
      <w:pPr>
        <w:pStyle w:val="Styl1"/>
      </w:pPr>
    </w:p>
    <w:p w14:paraId="45B30DF7" w14:textId="77777777"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14:paraId="012B893D" w14:textId="77777777"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14:paraId="7E3C9EBB" w14:textId="77777777" w:rsidR="005E3E68" w:rsidRDefault="005E3E68" w:rsidP="005E3E68">
      <w:pPr>
        <w:pStyle w:val="Styl1"/>
        <w:numPr>
          <w:ilvl w:val="0"/>
          <w:numId w:val="1"/>
        </w:numPr>
      </w:pPr>
      <w:r>
        <w:t>walców statycznych, zwykle o nacisku jednostkowym co najmniej 30 kN/m, ew. walców wibracyjnych o nacisku jednostkowym wału wibrującego co najmniej 18 kN/m lub płytowych zagęszczarek wibracyjnych o nacisku jednostkowym co najmniej 16 kN/m</w:t>
      </w:r>
      <w:r>
        <w:rPr>
          <w:vertAlign w:val="superscript"/>
        </w:rPr>
        <w:t>2</w:t>
      </w:r>
      <w:r>
        <w:t xml:space="preserve">, </w:t>
      </w:r>
    </w:p>
    <w:p w14:paraId="76A26744" w14:textId="77777777"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14:paraId="4F608055" w14:textId="77777777" w:rsidR="005E3E68" w:rsidRDefault="005E3E68" w:rsidP="005E3E68">
      <w:pPr>
        <w:pStyle w:val="Styl1"/>
      </w:pPr>
    </w:p>
    <w:p w14:paraId="4428149F" w14:textId="77777777" w:rsidR="005E3E68" w:rsidRDefault="005E3E68" w:rsidP="005E3E68">
      <w:pPr>
        <w:pStyle w:val="Styl1"/>
      </w:pPr>
    </w:p>
    <w:p w14:paraId="50ABE623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14:paraId="6DA8A667" w14:textId="77777777" w:rsidR="005E3E68" w:rsidRDefault="005E3E68" w:rsidP="005E3E68">
      <w:pPr>
        <w:pStyle w:val="Styl1"/>
        <w:rPr>
          <w:b/>
          <w:bCs/>
        </w:rPr>
      </w:pPr>
    </w:p>
    <w:p w14:paraId="7A04A783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14:paraId="1F9B5496" w14:textId="77777777" w:rsidR="005E3E68" w:rsidRDefault="005E3E68" w:rsidP="005E3E68">
      <w:pPr>
        <w:pStyle w:val="Styl1"/>
      </w:pPr>
    </w:p>
    <w:p w14:paraId="2508CC0C" w14:textId="77777777"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14:paraId="5D889BC2" w14:textId="77777777" w:rsidR="005E3E68" w:rsidRDefault="005E3E68" w:rsidP="005E3E68">
      <w:pPr>
        <w:pStyle w:val="Styl1"/>
      </w:pPr>
    </w:p>
    <w:p w14:paraId="5CCC528B" w14:textId="77777777" w:rsidR="005E3E68" w:rsidRDefault="005E3E68" w:rsidP="005E3E68">
      <w:pPr>
        <w:pStyle w:val="Styl1"/>
        <w:rPr>
          <w:b/>
          <w:bCs/>
        </w:rPr>
      </w:pPr>
      <w:bookmarkStart w:id="1" w:name="_Toc407086055"/>
      <w:bookmarkStart w:id="2" w:name="_Toc407085607"/>
      <w:bookmarkStart w:id="3" w:name="_Toc407085464"/>
      <w:bookmarkStart w:id="4" w:name="_Toc407085321"/>
      <w:bookmarkStart w:id="5" w:name="_Toc407084202"/>
      <w:bookmarkStart w:id="6" w:name="_Toc407083368"/>
      <w:bookmarkStart w:id="7" w:name="_Toc407081712"/>
      <w:bookmarkStart w:id="8" w:name="_Toc407081569"/>
      <w:bookmarkStart w:id="9" w:name="_Toc407069604"/>
      <w:bookmarkStart w:id="10" w:name="_Toc406984396"/>
      <w:bookmarkStart w:id="11" w:name="_Toc406984205"/>
      <w:bookmarkStart w:id="12" w:name="_Toc406984058"/>
      <w:bookmarkStart w:id="13" w:name="_Toc406915365"/>
      <w:bookmarkStart w:id="14" w:name="_Toc406914890"/>
      <w:bookmarkStart w:id="15" w:name="_Toc406914787"/>
      <w:bookmarkStart w:id="16" w:name="_Toc406914133"/>
      <w:bookmarkStart w:id="17" w:name="_Toc406913888"/>
      <w:r>
        <w:rPr>
          <w:b/>
          <w:bCs/>
        </w:rPr>
        <w:t>4.2. Transport materiałów</w:t>
      </w:r>
    </w:p>
    <w:p w14:paraId="25877C02" w14:textId="77777777" w:rsidR="005E3E68" w:rsidRDefault="005E3E68" w:rsidP="005E3E68">
      <w:pPr>
        <w:pStyle w:val="Styl1"/>
      </w:pPr>
    </w:p>
    <w:p w14:paraId="59AD2693" w14:textId="77777777"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14:paraId="62ADCB0A" w14:textId="77777777" w:rsidR="005E3E68" w:rsidRDefault="005E3E68" w:rsidP="005E3E68">
      <w:pPr>
        <w:pStyle w:val="Styl1"/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0531F37" w14:textId="77777777" w:rsidR="005E3E68" w:rsidRDefault="005E3E68" w:rsidP="005E3E68">
      <w:pPr>
        <w:pStyle w:val="Styl1"/>
      </w:pPr>
    </w:p>
    <w:p w14:paraId="4FE15FFD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14:paraId="142C530A" w14:textId="77777777" w:rsidR="005E3E68" w:rsidRDefault="005E3E68" w:rsidP="005E3E68">
      <w:pPr>
        <w:pStyle w:val="Styl1"/>
        <w:rPr>
          <w:b/>
          <w:bCs/>
        </w:rPr>
      </w:pPr>
    </w:p>
    <w:p w14:paraId="037A7037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14:paraId="0B2FAFB2" w14:textId="77777777" w:rsidR="005E3E68" w:rsidRDefault="005E3E68" w:rsidP="005E3E68">
      <w:pPr>
        <w:pStyle w:val="Styl1"/>
      </w:pPr>
    </w:p>
    <w:p w14:paraId="3F73FE9B" w14:textId="77777777"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14:paraId="5FFB49F6" w14:textId="77777777" w:rsidR="005E3E68" w:rsidRDefault="005E3E68" w:rsidP="005E3E68">
      <w:pPr>
        <w:pStyle w:val="Styl1"/>
        <w:rPr>
          <w:b/>
        </w:rPr>
      </w:pPr>
    </w:p>
    <w:p w14:paraId="46515169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14:paraId="38AD0A54" w14:textId="77777777" w:rsidR="005E3E68" w:rsidRDefault="005E3E68" w:rsidP="005E3E68">
      <w:pPr>
        <w:pStyle w:val="Styl1"/>
      </w:pPr>
    </w:p>
    <w:p w14:paraId="6172028B" w14:textId="77777777" w:rsidR="005E3E68" w:rsidRDefault="005E3E68" w:rsidP="005E3E68">
      <w:pPr>
        <w:pStyle w:val="Styl1"/>
      </w:pPr>
    </w:p>
    <w:p w14:paraId="6DD87A04" w14:textId="77777777"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14:paraId="24CDDE65" w14:textId="77777777" w:rsidR="005E3E68" w:rsidRDefault="005E3E68" w:rsidP="005E3E68">
      <w:pPr>
        <w:pStyle w:val="Styl1"/>
        <w:rPr>
          <w:b/>
          <w:bCs/>
        </w:rPr>
      </w:pPr>
    </w:p>
    <w:p w14:paraId="08D994B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14:paraId="1E2C24E0" w14:textId="77777777" w:rsidR="00D172DF" w:rsidRDefault="00D172DF" w:rsidP="00D172DF">
      <w:pPr>
        <w:pStyle w:val="Styl1"/>
      </w:pPr>
    </w:p>
    <w:p w14:paraId="1E8F75C7" w14:textId="77777777" w:rsidR="00D172DF" w:rsidRDefault="00D172DF" w:rsidP="00D172DF">
      <w:pPr>
        <w:pStyle w:val="Styl1"/>
      </w:pPr>
      <w:r>
        <w:t>Przed przystąpieniem do wykonania warstwy nawierzchni poboczy z kruszywa łamanego Wykonawca wykona odcinek próbny w celu uściślenia organizacji wytwarzania i układania oraz ustalenia warunków zagęszczania i uzyskiwanych parametrów jakościowych.</w:t>
      </w:r>
    </w:p>
    <w:p w14:paraId="00A602F4" w14:textId="77777777" w:rsidR="00D172DF" w:rsidRDefault="00D172DF" w:rsidP="00D172DF">
      <w:pPr>
        <w:pStyle w:val="Styl1"/>
      </w:pPr>
      <w:r>
        <w:t>Odcinek próbny powinien być zlokalizowany w miejscu uzgodnionym z Inżynierem. Powierzchnia odcinka próbnego powinna wynosić co najmniej 160 m</w:t>
      </w:r>
      <w:r>
        <w:rPr>
          <w:vertAlign w:val="superscript"/>
        </w:rPr>
        <w:t>2</w:t>
      </w:r>
      <w:r>
        <w:t>. Na odcinku próbnym Wykonawca powinien użyć takich materiałów oraz sprzętu jakie zamierza stosować do wykonania warstwy nawierzchni pobocza z kruszywa łamaengo.</w:t>
      </w:r>
    </w:p>
    <w:p w14:paraId="7BCBEBD5" w14:textId="77777777" w:rsidR="00D172DF" w:rsidRDefault="00D172DF" w:rsidP="00D172DF">
      <w:pPr>
        <w:pStyle w:val="Styl1"/>
      </w:pPr>
      <w:r>
        <w:t>Wykonawca może przystąpić do realizacji robót po zaakceptowaniu przez Inżyniera technologii wbudowania i zagęszczania oraz wyników z odcinka próbnego.</w:t>
      </w:r>
    </w:p>
    <w:p w14:paraId="59233620" w14:textId="77777777" w:rsidR="005E3E68" w:rsidRDefault="005E3E68" w:rsidP="005E3E68">
      <w:pPr>
        <w:pStyle w:val="Styl1"/>
        <w:rPr>
          <w:b/>
          <w:bCs/>
        </w:rPr>
      </w:pPr>
    </w:p>
    <w:p w14:paraId="36E056A6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14:paraId="5768DCCB" w14:textId="77777777" w:rsidR="005E3E68" w:rsidRDefault="005E3E68" w:rsidP="005E3E68">
      <w:pPr>
        <w:pStyle w:val="Styl1"/>
      </w:pPr>
    </w:p>
    <w:p w14:paraId="6CEB4451" w14:textId="77777777"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14:paraId="18A8B8D6" w14:textId="77777777" w:rsidR="005E3E68" w:rsidRDefault="005E3E68" w:rsidP="005E3E68">
      <w:pPr>
        <w:pStyle w:val="Styl1"/>
      </w:pPr>
    </w:p>
    <w:p w14:paraId="1BC7A251" w14:textId="77777777"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14:paraId="54AAB638" w14:textId="77777777" w:rsidR="005E3E68" w:rsidRDefault="005E3E68" w:rsidP="005E3E68">
      <w:pPr>
        <w:pStyle w:val="Styl1"/>
      </w:pPr>
    </w:p>
    <w:p w14:paraId="341D7669" w14:textId="77777777"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kN/m.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14:paraId="69545B7B" w14:textId="77777777"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14:paraId="64466682" w14:textId="77777777" w:rsidR="005E3E68" w:rsidRDefault="005E3E68" w:rsidP="005E3E68">
      <w:pPr>
        <w:pStyle w:val="Styl1"/>
      </w:pPr>
    </w:p>
    <w:p w14:paraId="7BD7677C" w14:textId="77777777"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14:paraId="11A9ED38" w14:textId="77777777"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14:paraId="3EFE49D9" w14:textId="77777777" w:rsidR="005E3E68" w:rsidRDefault="005E3E68" w:rsidP="005E3E68">
      <w:pPr>
        <w:pStyle w:val="Styl1"/>
      </w:pPr>
    </w:p>
    <w:p w14:paraId="3C63CEC4" w14:textId="77777777"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14:paraId="5C00133D" w14:textId="77777777"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14:paraId="09EEE36E" w14:textId="77777777" w:rsidR="005E3E68" w:rsidRDefault="005E3E68" w:rsidP="005E3E68">
      <w:pPr>
        <w:pStyle w:val="Styl1"/>
      </w:pPr>
    </w:p>
    <w:p w14:paraId="2C97A564" w14:textId="77777777" w:rsidR="005E3E68" w:rsidRDefault="005E3E68" w:rsidP="005E3E68">
      <w:pPr>
        <w:pStyle w:val="Styl1"/>
      </w:pPr>
      <w:r>
        <w:t>W przypadku zagęszczania kruszywa sprzętem wibracyjnym (walcami wibracyjnymi o nacisku jednostkowym wału wibrującego co najmniej 18 kN/m lub płytowymi zagęszczarkami wibracyjnymi o nacisku jednostkowym co najmniej 16 kN/m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14:paraId="50B0AA2B" w14:textId="77777777" w:rsidR="005E3E68" w:rsidRDefault="005E3E68" w:rsidP="005E3E68">
      <w:pPr>
        <w:pStyle w:val="Styl1"/>
      </w:pPr>
    </w:p>
    <w:p w14:paraId="247D2058" w14:textId="77777777"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14:paraId="6F4E98F2" w14:textId="77777777" w:rsidR="005E3E68" w:rsidRDefault="005E3E68" w:rsidP="005E3E68">
      <w:pPr>
        <w:pStyle w:val="Styl1"/>
        <w:rPr>
          <w:b/>
          <w:bCs/>
        </w:rPr>
      </w:pPr>
    </w:p>
    <w:p w14:paraId="354E78F8" w14:textId="77777777" w:rsidR="005E3E68" w:rsidRDefault="005E3E68" w:rsidP="005E3E68">
      <w:pPr>
        <w:pStyle w:val="Styl1"/>
        <w:rPr>
          <w:b/>
          <w:bCs/>
        </w:rPr>
      </w:pPr>
    </w:p>
    <w:p w14:paraId="1E83A214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14:paraId="3AEDA6E4" w14:textId="77777777" w:rsidR="005E3E68" w:rsidRDefault="005E3E68" w:rsidP="005E3E68">
      <w:pPr>
        <w:pStyle w:val="Styl1"/>
        <w:rPr>
          <w:b/>
          <w:bCs/>
        </w:rPr>
      </w:pPr>
    </w:p>
    <w:p w14:paraId="4A28598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14:paraId="0900AFE6" w14:textId="77777777" w:rsidR="005E3E68" w:rsidRDefault="005E3E68" w:rsidP="005E3E68">
      <w:pPr>
        <w:pStyle w:val="Styl1"/>
      </w:pPr>
    </w:p>
    <w:p w14:paraId="7A68C213" w14:textId="77777777"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14:paraId="1FEA4399" w14:textId="77777777" w:rsidR="005E3E68" w:rsidRDefault="005E3E68" w:rsidP="005E3E68">
      <w:pPr>
        <w:pStyle w:val="Styl1"/>
        <w:rPr>
          <w:b/>
          <w:bCs/>
        </w:rPr>
      </w:pPr>
    </w:p>
    <w:p w14:paraId="792FFF3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14:paraId="41601CB5" w14:textId="77777777" w:rsidR="005E3E68" w:rsidRDefault="005E3E68" w:rsidP="005E3E68">
      <w:pPr>
        <w:pStyle w:val="Styl1"/>
      </w:pPr>
    </w:p>
    <w:p w14:paraId="1F3A194F" w14:textId="77777777" w:rsidR="005E3E68" w:rsidRDefault="005E3E68" w:rsidP="005E3E68">
      <w:pPr>
        <w:pStyle w:val="Styl1"/>
      </w:pPr>
      <w:r>
        <w:lastRenderedPageBreak/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14:paraId="12E99F1A" w14:textId="77777777" w:rsidR="005E3E68" w:rsidRDefault="005E3E68" w:rsidP="005E3E68">
      <w:pPr>
        <w:pStyle w:val="Styl1"/>
        <w:rPr>
          <w:b/>
          <w:bCs/>
        </w:rPr>
      </w:pPr>
    </w:p>
    <w:p w14:paraId="27897327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14:paraId="5F135650" w14:textId="77777777" w:rsidR="005E3E68" w:rsidRDefault="005E3E68" w:rsidP="005E3E68">
      <w:pPr>
        <w:pStyle w:val="Styl1"/>
      </w:pPr>
    </w:p>
    <w:p w14:paraId="03E32F48" w14:textId="77777777"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14:paraId="3D998611" w14:textId="77777777"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uziarnienie kruszywa, zawartość zanieczyszczeń obcych w kruszywie i zawartość ziarn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14:paraId="45B91AC2" w14:textId="77777777"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14:paraId="6944637C" w14:textId="77777777" w:rsidR="005E3E68" w:rsidRDefault="005E3E68" w:rsidP="005E3E68">
      <w:pPr>
        <w:pStyle w:val="Styl1"/>
      </w:pPr>
    </w:p>
    <w:p w14:paraId="7FA9722C" w14:textId="77777777"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14:paraId="228DF1EE" w14:textId="77777777" w:rsidR="005E3E68" w:rsidRDefault="005E3E68" w:rsidP="005E3E68">
      <w:pPr>
        <w:pStyle w:val="Styl1"/>
      </w:pPr>
    </w:p>
    <w:p w14:paraId="3A86F953" w14:textId="77777777"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14:paraId="6717B207" w14:textId="77777777" w:rsidR="005E3E68" w:rsidRDefault="005E3E68" w:rsidP="005E3E68">
      <w:pPr>
        <w:pStyle w:val="Styl1"/>
        <w:rPr>
          <w:b/>
          <w:bCs/>
        </w:rPr>
      </w:pPr>
    </w:p>
    <w:p w14:paraId="13159E52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14:paraId="3F677938" w14:textId="77777777" w:rsidR="005E3E68" w:rsidRDefault="005E3E68" w:rsidP="005E3E68">
      <w:pPr>
        <w:pStyle w:val="Styl1"/>
        <w:rPr>
          <w:b/>
          <w:bCs/>
        </w:rPr>
      </w:pPr>
    </w:p>
    <w:p w14:paraId="7FA2337B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14:paraId="0C9DE33B" w14:textId="77777777"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14:paraId="2023177E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14:paraId="7D48F411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14:paraId="53C36E93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72C83253" w14:textId="77777777"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053F87A0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142C722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14:paraId="29DE6488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14:paraId="570FCD40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5EDF3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63002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CA76D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14:paraId="0C94A332" w14:textId="77777777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1E320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2F20E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DC19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14:paraId="53AFF8A5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56F3C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21DF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3004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14:paraId="2F4FD018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C110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5449A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8DDA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14:paraId="30EED2FA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EF1C7" w14:textId="77777777"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E1698" w14:textId="77777777"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57AA5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14:paraId="0F1E355D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07BCA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9CC59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1559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14:paraId="0049CC02" w14:textId="77777777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1F5A6" w14:textId="77777777"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99203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331C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7D9CB7F2" w14:textId="77777777"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14:paraId="2A241D67" w14:textId="77777777" w:rsidR="005E3E68" w:rsidRDefault="005E3E68" w:rsidP="005E3E68">
      <w:pPr>
        <w:pStyle w:val="Styl1"/>
      </w:pPr>
    </w:p>
    <w:p w14:paraId="4688C67F" w14:textId="77777777"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14:paraId="0833C258" w14:textId="77777777" w:rsidR="005E3E68" w:rsidRDefault="005E3E68" w:rsidP="005E3E68">
      <w:pPr>
        <w:pStyle w:val="Styl1"/>
        <w:rPr>
          <w:b/>
          <w:bCs/>
        </w:rPr>
      </w:pPr>
    </w:p>
    <w:p w14:paraId="44B35308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14:paraId="2E852210" w14:textId="77777777"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14:paraId="44789694" w14:textId="77777777" w:rsidR="005E3E68" w:rsidRDefault="005E3E68" w:rsidP="005E3E68">
      <w:pPr>
        <w:pStyle w:val="Styl1"/>
        <w:rPr>
          <w:b/>
          <w:bCs/>
        </w:rPr>
      </w:pPr>
    </w:p>
    <w:p w14:paraId="613592A4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14:paraId="5F47867A" w14:textId="77777777"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14:paraId="55FEDB8C" w14:textId="77777777" w:rsidR="005E3E68" w:rsidRDefault="005E3E68" w:rsidP="005E3E68">
      <w:pPr>
        <w:pStyle w:val="Styl1"/>
      </w:pPr>
    </w:p>
    <w:p w14:paraId="2D3972E9" w14:textId="77777777" w:rsidR="005E3E68" w:rsidRDefault="005E3E68" w:rsidP="005E3E68">
      <w:pPr>
        <w:pStyle w:val="Styl1"/>
      </w:pPr>
      <w:r>
        <w:t>Nierówności nawierzchni tłuczniowej nie powinny przekraczać 15 mm,</w:t>
      </w:r>
    </w:p>
    <w:p w14:paraId="0FFA2173" w14:textId="77777777" w:rsidR="005E3E68" w:rsidRDefault="005E3E68" w:rsidP="005E3E68">
      <w:pPr>
        <w:pStyle w:val="Styl1"/>
        <w:rPr>
          <w:b/>
          <w:bCs/>
        </w:rPr>
      </w:pPr>
    </w:p>
    <w:p w14:paraId="09E1F33A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14:paraId="3C3C9F42" w14:textId="77777777" w:rsidR="005E3E68" w:rsidRDefault="005E3E68" w:rsidP="005E3E68">
      <w:pPr>
        <w:pStyle w:val="Styl1"/>
      </w:pPr>
      <w:r>
        <w:lastRenderedPageBreak/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14:paraId="7CB680BD" w14:textId="77777777" w:rsidR="005E3E68" w:rsidRDefault="005E3E68" w:rsidP="005E3E68">
      <w:pPr>
        <w:pStyle w:val="Styl1"/>
        <w:rPr>
          <w:b/>
          <w:bCs/>
        </w:rPr>
      </w:pPr>
    </w:p>
    <w:p w14:paraId="0075C3BB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14:paraId="40E29428" w14:textId="77777777"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14:paraId="4F5A975A" w14:textId="77777777" w:rsidR="005E3E68" w:rsidRDefault="005E3E68" w:rsidP="005E3E68">
      <w:pPr>
        <w:pStyle w:val="Styl1"/>
        <w:rPr>
          <w:b/>
          <w:bCs/>
        </w:rPr>
      </w:pPr>
    </w:p>
    <w:p w14:paraId="616D2E50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14:paraId="34968C01" w14:textId="77777777" w:rsidR="005E3E68" w:rsidRDefault="005E3E68" w:rsidP="005E3E68">
      <w:pPr>
        <w:pStyle w:val="Styl1"/>
      </w:pPr>
      <w:r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14:paraId="0E85CD25" w14:textId="77777777" w:rsidR="005E3E68" w:rsidRDefault="005E3E68" w:rsidP="005E3E68">
      <w:pPr>
        <w:pStyle w:val="Styl1"/>
        <w:rPr>
          <w:b/>
          <w:bCs/>
        </w:rPr>
      </w:pPr>
    </w:p>
    <w:p w14:paraId="3E1BC28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14:paraId="4A03B1AE" w14:textId="77777777"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14:paraId="0AC42FDD" w14:textId="77777777" w:rsidR="005E3E68" w:rsidRDefault="005E3E68" w:rsidP="005E3E68">
      <w:pPr>
        <w:pStyle w:val="Styl1"/>
      </w:pPr>
    </w:p>
    <w:p w14:paraId="236CE7FC" w14:textId="77777777"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14:paraId="240C78F4" w14:textId="77777777" w:rsidR="005E3E68" w:rsidRDefault="005E3E68" w:rsidP="005E3E68">
      <w:pPr>
        <w:pStyle w:val="Styl1"/>
        <w:rPr>
          <w:b/>
          <w:bCs/>
        </w:rPr>
      </w:pPr>
    </w:p>
    <w:p w14:paraId="0D88EA48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14:paraId="58908420" w14:textId="77777777" w:rsidR="005E3E68" w:rsidRDefault="005E3E68" w:rsidP="005E3E68">
      <w:pPr>
        <w:pStyle w:val="Styl1"/>
      </w:pPr>
    </w:p>
    <w:p w14:paraId="3B29B3C4" w14:textId="77777777"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14:paraId="49E22E82" w14:textId="77777777" w:rsidR="005E3E68" w:rsidRDefault="005E3E68" w:rsidP="005E3E68">
      <w:pPr>
        <w:pStyle w:val="Styl1"/>
      </w:pPr>
    </w:p>
    <w:p w14:paraId="051F15EF" w14:textId="77777777"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14:paraId="14992A19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14:paraId="52F0C45E" w14:textId="77777777"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14:paraId="676EC34D" w14:textId="77777777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14:paraId="79AA2855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14:paraId="0FDA2B16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3952D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Minimalny moduł odkształcenia mierzony przy użyciu płyty o średnicy 30 cm,    MPa</w:t>
            </w:r>
          </w:p>
        </w:tc>
      </w:tr>
      <w:tr w:rsidR="005E3E68" w14:paraId="5B0D61B3" w14:textId="77777777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14:paraId="1F4746A7" w14:textId="77777777"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E3ACE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D2A4E8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14:paraId="78338AB9" w14:textId="77777777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EEF7" w14:textId="77777777"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13287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32BF" w14:textId="77777777"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14:paraId="6C5DC408" w14:textId="77777777" w:rsidR="005E3E68" w:rsidRDefault="005E3E68" w:rsidP="005E3E68">
      <w:pPr>
        <w:pStyle w:val="Styl1"/>
      </w:pPr>
    </w:p>
    <w:p w14:paraId="6436453D" w14:textId="77777777"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14:paraId="110B2961" w14:textId="77777777" w:rsidR="005E3E68" w:rsidRDefault="005E3E68" w:rsidP="005E3E68">
      <w:pPr>
        <w:pStyle w:val="Styl1"/>
        <w:rPr>
          <w:b/>
          <w:bCs/>
        </w:rPr>
      </w:pPr>
    </w:p>
    <w:p w14:paraId="743F1725" w14:textId="77777777" w:rsidR="005E3E68" w:rsidRDefault="005E3E68" w:rsidP="005E3E68">
      <w:pPr>
        <w:pStyle w:val="Styl1"/>
        <w:rPr>
          <w:b/>
          <w:bCs/>
        </w:rPr>
      </w:pPr>
    </w:p>
    <w:p w14:paraId="3367ED63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14:paraId="350ACE0D" w14:textId="77777777" w:rsidR="005E3E68" w:rsidRDefault="005E3E68" w:rsidP="005E3E68">
      <w:pPr>
        <w:pStyle w:val="Styl1"/>
        <w:rPr>
          <w:b/>
          <w:bCs/>
        </w:rPr>
      </w:pPr>
    </w:p>
    <w:p w14:paraId="7A8F8F74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14:paraId="707F40F6" w14:textId="77777777"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14:paraId="5CEC05E4" w14:textId="77777777" w:rsidR="005E3E68" w:rsidRDefault="005E3E68" w:rsidP="005E3E68">
      <w:pPr>
        <w:pStyle w:val="Styl1"/>
      </w:pPr>
    </w:p>
    <w:p w14:paraId="65AAE4A7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14:paraId="6812B8ED" w14:textId="77777777"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14:paraId="314D4945" w14:textId="77777777" w:rsidR="005E3E68" w:rsidRDefault="005E3E68" w:rsidP="005E3E68">
      <w:pPr>
        <w:pStyle w:val="Styl1"/>
      </w:pPr>
    </w:p>
    <w:p w14:paraId="7D00A87D" w14:textId="77777777"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14:paraId="1D4CCE1B" w14:textId="77777777" w:rsidR="005E3E68" w:rsidRDefault="005E3E68" w:rsidP="005E3E68">
      <w:pPr>
        <w:pStyle w:val="Styl1"/>
      </w:pPr>
    </w:p>
    <w:p w14:paraId="268B9DAE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14:paraId="552CD4B5" w14:textId="77777777"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14:paraId="33E8FBF2" w14:textId="77777777" w:rsidR="005E3E68" w:rsidRDefault="005E3E68" w:rsidP="005E3E68">
      <w:pPr>
        <w:pStyle w:val="Styl1"/>
      </w:pPr>
    </w:p>
    <w:p w14:paraId="0C1644BD" w14:textId="77777777"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14:paraId="4D57C79F" w14:textId="77777777" w:rsidR="005E3E68" w:rsidRDefault="005E3E68" w:rsidP="005E3E68">
      <w:pPr>
        <w:pStyle w:val="Styl1"/>
        <w:rPr>
          <w:b/>
          <w:bCs/>
        </w:rPr>
      </w:pPr>
    </w:p>
    <w:p w14:paraId="3B920B1C" w14:textId="77777777" w:rsidR="005E3E68" w:rsidRDefault="005E3E68" w:rsidP="005E3E68">
      <w:pPr>
        <w:pStyle w:val="Styl1"/>
        <w:rPr>
          <w:b/>
          <w:bCs/>
        </w:rPr>
      </w:pPr>
    </w:p>
    <w:p w14:paraId="6CC0FDAC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14:paraId="42D09AC8" w14:textId="77777777" w:rsidR="005E3E68" w:rsidRDefault="005E3E68" w:rsidP="005E3E68">
      <w:pPr>
        <w:pStyle w:val="Styl1"/>
        <w:rPr>
          <w:b/>
          <w:bCs/>
        </w:rPr>
      </w:pPr>
    </w:p>
    <w:p w14:paraId="57CEC8B1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14:paraId="32F60691" w14:textId="77777777" w:rsidR="005E3E68" w:rsidRDefault="005E3E68" w:rsidP="005E3E68">
      <w:pPr>
        <w:pStyle w:val="Styl1"/>
      </w:pPr>
    </w:p>
    <w:p w14:paraId="2366C178" w14:textId="77777777"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14:paraId="3818D570" w14:textId="77777777" w:rsidR="005E3E68" w:rsidRDefault="005E3E68" w:rsidP="005E3E68">
      <w:pPr>
        <w:pStyle w:val="Styl1"/>
        <w:rPr>
          <w:b/>
          <w:bCs/>
        </w:rPr>
      </w:pPr>
    </w:p>
    <w:p w14:paraId="2BC0F00C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14:paraId="23C5C557" w14:textId="77777777" w:rsidR="005E3E68" w:rsidRDefault="005E3E68" w:rsidP="005E3E68">
      <w:pPr>
        <w:pStyle w:val="Styl1"/>
      </w:pPr>
    </w:p>
    <w:p w14:paraId="7530714B" w14:textId="77777777"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14:paraId="5E775084" w14:textId="77777777" w:rsidR="005E3E68" w:rsidRDefault="005E3E68" w:rsidP="005E3E68">
      <w:pPr>
        <w:pStyle w:val="Styl1"/>
        <w:rPr>
          <w:b/>
          <w:bCs/>
        </w:rPr>
      </w:pPr>
    </w:p>
    <w:p w14:paraId="2258C4FA" w14:textId="77777777" w:rsidR="005E3E68" w:rsidRDefault="005E3E68" w:rsidP="005E3E68">
      <w:pPr>
        <w:pStyle w:val="Styl1"/>
        <w:rPr>
          <w:b/>
          <w:bCs/>
        </w:rPr>
      </w:pPr>
    </w:p>
    <w:p w14:paraId="42896950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14:paraId="2C99E846" w14:textId="77777777" w:rsidR="005E3E68" w:rsidRDefault="005E3E68" w:rsidP="005E3E68">
      <w:pPr>
        <w:pStyle w:val="Styl1"/>
      </w:pPr>
    </w:p>
    <w:p w14:paraId="2770807A" w14:textId="77777777"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14:paraId="21FD80E5" w14:textId="77777777" w:rsidR="005E3E68" w:rsidRDefault="005E3E68" w:rsidP="005E3E68">
      <w:pPr>
        <w:pStyle w:val="Styl1"/>
      </w:pPr>
    </w:p>
    <w:p w14:paraId="154689FD" w14:textId="77777777"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14:paraId="4E287C9C" w14:textId="77777777" w:rsidR="005E3E68" w:rsidRDefault="005E3E68" w:rsidP="005E3E68">
      <w:pPr>
        <w:pStyle w:val="Styl1"/>
        <w:rPr>
          <w:b/>
          <w:bCs/>
        </w:rPr>
      </w:pPr>
    </w:p>
    <w:p w14:paraId="02415460" w14:textId="77777777" w:rsidR="005E3E68" w:rsidRDefault="005E3E68" w:rsidP="005E3E68">
      <w:pPr>
        <w:pStyle w:val="Styl1"/>
        <w:rPr>
          <w:b/>
          <w:bCs/>
        </w:rPr>
      </w:pPr>
    </w:p>
    <w:p w14:paraId="1F4EA957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14:paraId="27C32682" w14:textId="77777777" w:rsidR="005E3E68" w:rsidRDefault="005E3E68" w:rsidP="005E3E68">
      <w:pPr>
        <w:pStyle w:val="Styl1"/>
        <w:rPr>
          <w:b/>
          <w:bCs/>
        </w:rPr>
      </w:pPr>
    </w:p>
    <w:p w14:paraId="04A900AD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14:paraId="628BB035" w14:textId="77777777" w:rsidR="005E3E68" w:rsidRDefault="005E3E68" w:rsidP="005E3E68">
      <w:pPr>
        <w:pStyle w:val="Styl1"/>
      </w:pPr>
    </w:p>
    <w:p w14:paraId="23F3C669" w14:textId="77777777"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14:paraId="5A0F65DC" w14:textId="77777777" w:rsidR="005E3E68" w:rsidRDefault="005E3E68" w:rsidP="005E3E68">
      <w:pPr>
        <w:pStyle w:val="Styl1"/>
        <w:rPr>
          <w:b/>
          <w:bCs/>
        </w:rPr>
      </w:pPr>
    </w:p>
    <w:p w14:paraId="1BC3A036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14:paraId="3AE5F1B0" w14:textId="77777777" w:rsidR="005E3E68" w:rsidRDefault="005E3E68" w:rsidP="005E3E68">
      <w:pPr>
        <w:pStyle w:val="Styl1"/>
      </w:pPr>
    </w:p>
    <w:p w14:paraId="2275BE03" w14:textId="77777777"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14:paraId="1A074119" w14:textId="77777777"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14:paraId="235924EA" w14:textId="77777777"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14:paraId="2DE9EDC4" w14:textId="77777777"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14:paraId="025339FF" w14:textId="77777777"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14:paraId="4DE48B2E" w14:textId="77777777"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14:paraId="53BC4F9C" w14:textId="77777777"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14:paraId="7A46F3BA" w14:textId="77777777"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14:paraId="0F012188" w14:textId="77777777"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14:paraId="397014BB" w14:textId="77777777"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14:paraId="1BD817DD" w14:textId="77777777"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14:paraId="4C18292A" w14:textId="77777777" w:rsidR="005E3E68" w:rsidRDefault="005E3E68" w:rsidP="005E3E68">
      <w:pPr>
        <w:pStyle w:val="Styl1"/>
        <w:rPr>
          <w:b/>
          <w:bCs/>
        </w:rPr>
      </w:pPr>
    </w:p>
    <w:p w14:paraId="55F00CB8" w14:textId="77777777" w:rsidR="005E3E68" w:rsidRDefault="005E3E68" w:rsidP="005E3E68">
      <w:pPr>
        <w:pStyle w:val="Styl1"/>
        <w:rPr>
          <w:b/>
          <w:bCs/>
        </w:rPr>
      </w:pPr>
    </w:p>
    <w:p w14:paraId="7524CE39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14:paraId="200869AE" w14:textId="77777777" w:rsidR="005E3E68" w:rsidRDefault="005E3E68" w:rsidP="005E3E68">
      <w:pPr>
        <w:pStyle w:val="Styl1"/>
        <w:rPr>
          <w:b/>
          <w:bCs/>
        </w:rPr>
      </w:pPr>
    </w:p>
    <w:p w14:paraId="7DCAED2F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14:paraId="6CFA0E05" w14:textId="77777777" w:rsidR="005E3E68" w:rsidRDefault="005E3E68" w:rsidP="005E3E68">
      <w:pPr>
        <w:pStyle w:val="Styl1"/>
        <w:rPr>
          <w:b/>
          <w:bCs/>
        </w:rPr>
      </w:pPr>
    </w:p>
    <w:p w14:paraId="4FF8D006" w14:textId="77777777"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14:paraId="175159E9" w14:textId="77777777"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14:paraId="26F3106B" w14:textId="77777777"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14:paraId="55C9AB5E" w14:textId="77777777" w:rsidR="00A43A0F" w:rsidRDefault="00A43A0F" w:rsidP="00A43A0F">
      <w:pPr>
        <w:pStyle w:val="Styl1"/>
      </w:pPr>
      <w:r>
        <w:t xml:space="preserve">4. PN-B-06714-16 Kruszywa mineralne. Badania. Oznaczanie kształtu ziarn </w:t>
      </w:r>
    </w:p>
    <w:p w14:paraId="34C00E77" w14:textId="77777777"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14:paraId="46F7B27D" w14:textId="77777777"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14:paraId="27873549" w14:textId="77777777"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14:paraId="0913FD20" w14:textId="77777777"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14:paraId="5EE272AA" w14:textId="77777777"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14:paraId="3055CCE2" w14:textId="77777777"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14:paraId="66A1CDDF" w14:textId="77777777"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14:paraId="6863C0B2" w14:textId="77777777"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14:paraId="55E460F4" w14:textId="77777777"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14:paraId="356846E2" w14:textId="77777777"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14:paraId="7C74288F" w14:textId="77777777"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14:paraId="0F44FBB3" w14:textId="77777777" w:rsidR="00A43A0F" w:rsidRDefault="00A43A0F" w:rsidP="00A43A0F">
      <w:pPr>
        <w:pStyle w:val="Styl1"/>
      </w:pPr>
      <w:r>
        <w:lastRenderedPageBreak/>
        <w:t xml:space="preserve">27. BN-64/8931-02 Drogi  samochodowe. Oznaczanie  modułu odkształcenia  nawierzchni  podatnych i  podłoża przez obciążenie płytą </w:t>
      </w:r>
    </w:p>
    <w:p w14:paraId="6478BE58" w14:textId="77777777" w:rsidR="00A43A0F" w:rsidRDefault="00A43A0F" w:rsidP="00A43A0F">
      <w:pPr>
        <w:pStyle w:val="Styl1"/>
      </w:pPr>
      <w:r>
        <w:t xml:space="preserve">28. BN-68/8931-04 Drogi samochodowe. Pomiar równości nawierzchni planografem i łatą </w:t>
      </w:r>
    </w:p>
    <w:p w14:paraId="072B1847" w14:textId="77777777" w:rsidR="00A43A0F" w:rsidRDefault="00A43A0F" w:rsidP="00A43A0F">
      <w:pPr>
        <w:pStyle w:val="Styl1"/>
      </w:pPr>
      <w:r>
        <w:t xml:space="preserve">29. BN-70/8931-06 Drogi  samochodowe. Pomiar ugięć podatnych ugięciomierzem belkowym </w:t>
      </w:r>
    </w:p>
    <w:p w14:paraId="1B4F1B43" w14:textId="77777777" w:rsidR="00A43A0F" w:rsidRDefault="00A43A0F" w:rsidP="00A43A0F">
      <w:pPr>
        <w:pStyle w:val="Styl1"/>
      </w:pPr>
      <w:r>
        <w:t xml:space="preserve">30. BN-77/8931-12 Oznaczanie wskaźnika zagęszczenia gruntu </w:t>
      </w:r>
    </w:p>
    <w:p w14:paraId="44D5870C" w14:textId="77777777"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14:paraId="4EAAA98E" w14:textId="77777777"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14:paraId="04379065" w14:textId="77777777"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14:paraId="62AB2411" w14:textId="77777777" w:rsidR="00A43A0F" w:rsidRDefault="00A43A0F" w:rsidP="00A43A0F">
      <w:pPr>
        <w:pStyle w:val="Styl1"/>
      </w:pPr>
      <w:r>
        <w:t xml:space="preserve">34. PN-B-04111 Materiały kamienne. Oznaczanie ścieralności na tarczy Boehmego </w:t>
      </w:r>
    </w:p>
    <w:p w14:paraId="5A9394EA" w14:textId="77777777"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14:paraId="6AC4AEB2" w14:textId="77777777" w:rsidR="005E3E68" w:rsidRDefault="005E3E68" w:rsidP="005E3E68">
      <w:pPr>
        <w:pStyle w:val="Styl1"/>
        <w:rPr>
          <w:b/>
          <w:bCs/>
        </w:rPr>
      </w:pPr>
    </w:p>
    <w:p w14:paraId="166ECCC4" w14:textId="77777777"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14:paraId="33B23679" w14:textId="77777777" w:rsidR="005E3E68" w:rsidRDefault="005E3E68" w:rsidP="005E3E68">
      <w:pPr>
        <w:pStyle w:val="Styl1"/>
      </w:pPr>
    </w:p>
    <w:p w14:paraId="56E08D6F" w14:textId="77777777"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C2613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A5D8" w14:textId="77777777" w:rsidR="00EB42E2" w:rsidRDefault="00EB42E2" w:rsidP="00836F80">
      <w:pPr>
        <w:spacing w:before="0" w:after="0"/>
      </w:pPr>
      <w:r>
        <w:separator/>
      </w:r>
    </w:p>
  </w:endnote>
  <w:endnote w:type="continuationSeparator" w:id="0">
    <w:p w14:paraId="0A99565F" w14:textId="77777777" w:rsidR="00EB42E2" w:rsidRDefault="00EB42E2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120653FD" w14:textId="77777777"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14:paraId="17D0BB66" w14:textId="77777777"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D9732B9" w14:textId="77777777"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D172DF">
          <w:rPr>
            <w:rFonts w:ascii="Arial" w:hAnsi="Arial" w:cs="Arial"/>
            <w:noProof/>
          </w:rPr>
          <w:t>8</w:t>
        </w:r>
        <w:r w:rsidRPr="00247CEE">
          <w:rPr>
            <w:rFonts w:ascii="Arial" w:hAnsi="Arial" w:cs="Arial"/>
          </w:rPr>
          <w:fldChar w:fldCharType="end"/>
        </w:r>
      </w:p>
    </w:sdtContent>
  </w:sdt>
  <w:p w14:paraId="5C81D133" w14:textId="77777777"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8827" w14:textId="77777777" w:rsidR="00EB42E2" w:rsidRDefault="00EB42E2" w:rsidP="00836F80">
      <w:pPr>
        <w:spacing w:before="0" w:after="0"/>
      </w:pPr>
      <w:r>
        <w:separator/>
      </w:r>
    </w:p>
  </w:footnote>
  <w:footnote w:type="continuationSeparator" w:id="0">
    <w:p w14:paraId="400CE866" w14:textId="77777777" w:rsidR="00EB42E2" w:rsidRDefault="00EB42E2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C2FE" w14:textId="77777777"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14:paraId="11CC653D" w14:textId="77777777"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C500" w14:textId="77777777"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36215957">
    <w:abstractNumId w:val="7"/>
  </w:num>
  <w:num w:numId="2" w16cid:durableId="1890653610">
    <w:abstractNumId w:val="4"/>
  </w:num>
  <w:num w:numId="3" w16cid:durableId="61366996">
    <w:abstractNumId w:val="10"/>
  </w:num>
  <w:num w:numId="4" w16cid:durableId="1792161395">
    <w:abstractNumId w:val="2"/>
  </w:num>
  <w:num w:numId="5" w16cid:durableId="69595879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 w16cid:durableId="860515973">
    <w:abstractNumId w:val="8"/>
  </w:num>
  <w:num w:numId="7" w16cid:durableId="524095077">
    <w:abstractNumId w:val="6"/>
  </w:num>
  <w:num w:numId="8" w16cid:durableId="731001175">
    <w:abstractNumId w:val="9"/>
  </w:num>
  <w:num w:numId="9" w16cid:durableId="1984967928">
    <w:abstractNumId w:val="3"/>
  </w:num>
  <w:num w:numId="10" w16cid:durableId="127016405">
    <w:abstractNumId w:val="1"/>
  </w:num>
  <w:num w:numId="11" w16cid:durableId="9603033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252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0093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67A2"/>
    <w:rsid w:val="008E76B8"/>
    <w:rsid w:val="008E7BED"/>
    <w:rsid w:val="008E7D62"/>
    <w:rsid w:val="008F0AF3"/>
    <w:rsid w:val="008F3C9C"/>
    <w:rsid w:val="008F4960"/>
    <w:rsid w:val="00900C35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4309"/>
    <w:rsid w:val="00BD5BC4"/>
    <w:rsid w:val="00BE5230"/>
    <w:rsid w:val="00BE5B23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6136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DF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C8B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B42E2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D78780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2579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29</cp:revision>
  <dcterms:created xsi:type="dcterms:W3CDTF">2014-04-01T14:02:00Z</dcterms:created>
  <dcterms:modified xsi:type="dcterms:W3CDTF">2022-09-27T22:39:00Z</dcterms:modified>
</cp:coreProperties>
</file>