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4D74F" w14:textId="415CDA73" w:rsidR="00282AC9" w:rsidRPr="000F1242" w:rsidRDefault="00282AC9" w:rsidP="00282AC9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D101FB">
        <w:rPr>
          <w:rStyle w:val="Brak"/>
          <w:rFonts w:ascii="Verdana" w:hAnsi="Verdana" w:cs="Tahoma"/>
          <w:b/>
          <w:bCs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/2021</w:t>
      </w:r>
      <w:r w:rsidR="00FD5D78">
        <w:rPr>
          <w:rStyle w:val="Brak"/>
          <w:rFonts w:ascii="Verdana" w:hAnsi="Verdana" w:cs="Tahoma"/>
          <w:b/>
          <w:bCs/>
          <w:sz w:val="18"/>
          <w:szCs w:val="18"/>
        </w:rPr>
        <w:t>/P</w:t>
      </w:r>
      <w:bookmarkStart w:id="0" w:name="_GoBack"/>
      <w:bookmarkEnd w:id="0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3 do SWZ</w:t>
      </w:r>
    </w:p>
    <w:p w14:paraId="4A14C6AB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A166737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68825B55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6BF6A81D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09C516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37EABEFF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3ADFE8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05094161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4F1DE7A6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4CBB1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FB2883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F20B9E4" w14:textId="77777777" w:rsidR="00282AC9" w:rsidRPr="00776B38" w:rsidRDefault="00282AC9" w:rsidP="00282A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458828BC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38F8406" w14:textId="726A0E24" w:rsidR="00282AC9" w:rsidRPr="000F1242" w:rsidRDefault="00282AC9" w:rsidP="00282AC9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1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bookmarkEnd w:id="1"/>
    <w:p w14:paraId="03C897DA" w14:textId="77777777" w:rsidR="00282AC9" w:rsidRPr="000F1242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176261D" w14:textId="77777777" w:rsidR="00282AC9" w:rsidRPr="000F1242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6CA10EE8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9C5DB74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3680F70A" w14:textId="77777777" w:rsidR="00282AC9" w:rsidRDefault="00282AC9" w:rsidP="003D7238">
      <w:pPr>
        <w:tabs>
          <w:tab w:val="left" w:pos="1068"/>
        </w:tabs>
        <w:jc w:val="center"/>
        <w:rPr>
          <w:rFonts w:ascii="Verdana" w:hAnsi="Verdana" w:cs="Tahoma"/>
          <w:b/>
          <w:sz w:val="18"/>
          <w:szCs w:val="18"/>
        </w:rPr>
      </w:pPr>
    </w:p>
    <w:p w14:paraId="0C9204E4" w14:textId="23E799D2" w:rsidR="00282AC9" w:rsidRPr="00774D76" w:rsidRDefault="00485219" w:rsidP="00C41DB4">
      <w:pPr>
        <w:tabs>
          <w:tab w:val="left" w:pos="1068"/>
        </w:tabs>
        <w:jc w:val="both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</w:rPr>
        <w:t xml:space="preserve">Sukcesywna dostawa odczynników laboratoryjnych i chemicznych niezbędnych do realizacji projektów: </w:t>
      </w:r>
      <w:r w:rsidRPr="002D41C3">
        <w:rPr>
          <w:rFonts w:ascii="Verdana" w:hAnsi="Verdana" w:cs="Tahoma"/>
          <w:b/>
          <w:sz w:val="22"/>
        </w:rPr>
        <w:t xml:space="preserve">„Wyleczymy </w:t>
      </w:r>
      <w:proofErr w:type="spellStart"/>
      <w:r w:rsidRPr="002D41C3">
        <w:rPr>
          <w:rFonts w:ascii="Verdana" w:hAnsi="Verdana" w:cs="Tahoma"/>
          <w:b/>
          <w:sz w:val="22"/>
        </w:rPr>
        <w:t>Neutropenię</w:t>
      </w:r>
      <w:proofErr w:type="spellEnd"/>
      <w:r w:rsidRPr="002D41C3">
        <w:rPr>
          <w:rFonts w:ascii="Verdana" w:hAnsi="Verdana" w:cs="Tahoma"/>
          <w:b/>
          <w:sz w:val="22"/>
        </w:rPr>
        <w:t xml:space="preserve"> (FIXNET): wykorzystanie identyfikacji zaburzeń funkcji proteaz granulocytów obojętnochłonnych jako nowych możliwości diagnostycznych i terapeutycznych”</w:t>
      </w:r>
      <w:r>
        <w:rPr>
          <w:rFonts w:ascii="Verdana" w:hAnsi="Verdana" w:cs="Tahoma"/>
          <w:b/>
          <w:sz w:val="22"/>
        </w:rPr>
        <w:t xml:space="preserve"> oraz </w:t>
      </w:r>
      <w:r w:rsidRPr="002D41C3">
        <w:rPr>
          <w:rFonts w:ascii="Verdana" w:hAnsi="Verdana" w:cs="Tahoma"/>
          <w:b/>
          <w:sz w:val="22"/>
        </w:rPr>
        <w:t xml:space="preserve">„Platforma do szybkiego, </w:t>
      </w:r>
      <w:proofErr w:type="spellStart"/>
      <w:r w:rsidRPr="002D41C3">
        <w:rPr>
          <w:rFonts w:ascii="Verdana" w:hAnsi="Verdana" w:cs="Tahoma"/>
          <w:b/>
          <w:sz w:val="22"/>
        </w:rPr>
        <w:t>bezznacznikowego</w:t>
      </w:r>
      <w:proofErr w:type="spellEnd"/>
      <w:r w:rsidRPr="002D41C3">
        <w:rPr>
          <w:rFonts w:ascii="Verdana" w:hAnsi="Verdana" w:cs="Tahoma"/>
          <w:b/>
          <w:sz w:val="22"/>
        </w:rPr>
        <w:t xml:space="preserve"> obrazowania, identyfikacji i sortowania podtypó</w:t>
      </w:r>
      <w:r>
        <w:rPr>
          <w:rFonts w:ascii="Verdana" w:hAnsi="Verdana" w:cs="Tahoma"/>
          <w:b/>
          <w:sz w:val="22"/>
        </w:rPr>
        <w:t>w komórek białaczkowych (RAPID).”</w:t>
      </w:r>
    </w:p>
    <w:p w14:paraId="58D25287" w14:textId="77777777" w:rsidR="00282AC9" w:rsidRDefault="00282AC9" w:rsidP="00282AC9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2BFFFCB" w14:textId="33C1180B" w:rsidR="00282AC9" w:rsidRPr="003D7238" w:rsidRDefault="00282AC9" w:rsidP="003D7238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6AC4B7BB" w14:textId="77777777" w:rsidR="00282AC9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17C9687D" w14:textId="77777777" w:rsidR="00282AC9" w:rsidRPr="000F1242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</w:p>
    <w:p w14:paraId="24BA37F0" w14:textId="77777777" w:rsidR="00282AC9" w:rsidRPr="000F1242" w:rsidRDefault="00282AC9" w:rsidP="00282AC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>Oświadczam, że nie podlegam wykluczeniu z postępowania na podstawie art. 108 ust</w:t>
      </w:r>
      <w:r>
        <w:rPr>
          <w:rFonts w:ascii="Verdana" w:hAnsi="Verdana" w:cs="Tahoma"/>
          <w:sz w:val="18"/>
          <w:szCs w:val="18"/>
        </w:rPr>
        <w:t>.</w:t>
      </w:r>
      <w:r w:rsidRPr="000F1242">
        <w:rPr>
          <w:rFonts w:ascii="Verdana" w:hAnsi="Verdana" w:cs="Tahoma"/>
          <w:sz w:val="18"/>
          <w:szCs w:val="18"/>
        </w:rPr>
        <w:t xml:space="preserve"> 1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700B254" w14:textId="77777777" w:rsidR="00282AC9" w:rsidRPr="00774D76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i/>
          <w:iCs/>
          <w:color w:val="92D050"/>
          <w:sz w:val="18"/>
          <w:szCs w:val="18"/>
        </w:rPr>
      </w:pPr>
    </w:p>
    <w:p w14:paraId="10C60694" w14:textId="77777777" w:rsidR="00282AC9" w:rsidRPr="000C6200" w:rsidRDefault="00282AC9" w:rsidP="00282AC9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7F708E0" w14:textId="77777777" w:rsidR="00282AC9" w:rsidRDefault="00282AC9" w:rsidP="00282AC9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7B1C3A2F" w14:textId="77777777" w:rsidR="00282AC9" w:rsidRPr="00640F5B" w:rsidRDefault="00282AC9" w:rsidP="00282AC9">
      <w:pPr>
        <w:tabs>
          <w:tab w:val="left" w:pos="3228"/>
        </w:tabs>
        <w:spacing w:line="360" w:lineRule="auto"/>
        <w:jc w:val="both"/>
        <w:rPr>
          <w:rStyle w:val="Brak"/>
          <w:rFonts w:ascii="Verdana" w:hAnsi="Verdana" w:cs="Tahoma"/>
          <w:color w:val="auto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108 ust. 1 pkt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1, 2 i 5 ustawy </w:t>
      </w:r>
      <w:proofErr w:type="spellStart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). </w:t>
      </w:r>
    </w:p>
    <w:p w14:paraId="04F121DA" w14:textId="77777777" w:rsidR="00282AC9" w:rsidRPr="000F1242" w:rsidRDefault="00282AC9" w:rsidP="00282AC9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Jednocześnie oświadczam, że w związku z ww. okolicznością, o której mowa w art. 108 ust. 1 pkt 1,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2 i 5,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110 ust. 2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31AC5694" w14:textId="77777777" w:rsidR="00282AC9" w:rsidRPr="00E56880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</w:t>
      </w:r>
      <w:bookmarkStart w:id="2" w:name="_Hlk64058155"/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</w:t>
      </w:r>
    </w:p>
    <w:bookmarkEnd w:id="2"/>
    <w:p w14:paraId="0C76625C" w14:textId="1E3F8942" w:rsidR="00282AC9" w:rsidRDefault="00282AC9" w:rsidP="00282AC9">
      <w:pPr>
        <w:tabs>
          <w:tab w:val="left" w:pos="0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06817B07" w14:textId="77777777" w:rsidR="00485219" w:rsidRDefault="00485219" w:rsidP="00282AC9">
      <w:pPr>
        <w:tabs>
          <w:tab w:val="left" w:pos="0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34A8182C" w14:textId="1814ED83" w:rsidR="00282AC9" w:rsidRDefault="00282AC9" w:rsidP="00282AC9">
      <w:pPr>
        <w:tabs>
          <w:tab w:val="left" w:pos="0"/>
        </w:tabs>
        <w:spacing w:line="360" w:lineRule="auto"/>
        <w:jc w:val="both"/>
        <w:rPr>
          <w:rFonts w:ascii="Verdana" w:hAnsi="Verdana"/>
          <w:b/>
          <w:color w:val="auto"/>
          <w:sz w:val="18"/>
          <w:szCs w:val="18"/>
          <w:bdr w:val="none" w:sz="0" w:space="0" w:color="auto"/>
        </w:rPr>
      </w:pPr>
      <w:r>
        <w:rPr>
          <w:rFonts w:ascii="Verdana" w:hAnsi="Verdana"/>
          <w:b/>
          <w:sz w:val="18"/>
          <w:szCs w:val="18"/>
        </w:rPr>
        <w:t>Oświadczenie Wykonawcy – zał. nr 3 do SWZ musi być podpisane kwalifikowanym podpisem elektronicznym</w:t>
      </w:r>
      <w:r w:rsidR="000C46D6">
        <w:rPr>
          <w:rFonts w:ascii="Verdana" w:hAnsi="Verdana"/>
          <w:b/>
          <w:sz w:val="18"/>
          <w:szCs w:val="18"/>
        </w:rPr>
        <w:t xml:space="preserve"> lub</w:t>
      </w:r>
      <w:r>
        <w:rPr>
          <w:rFonts w:ascii="Verdana" w:hAnsi="Verdana"/>
          <w:b/>
          <w:sz w:val="18"/>
          <w:szCs w:val="18"/>
        </w:rPr>
        <w:t xml:space="preserve"> podpisem zaufanym lub podpisem osobistym.</w:t>
      </w:r>
      <w:r>
        <w:rPr>
          <w:rFonts w:ascii="Verdana" w:hAnsi="Verdana"/>
          <w:b/>
          <w:color w:val="auto"/>
          <w:sz w:val="18"/>
          <w:szCs w:val="18"/>
        </w:rPr>
        <w:t xml:space="preserve">       </w:t>
      </w:r>
    </w:p>
    <w:p w14:paraId="2FB42508" w14:textId="7777777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2CFD5D9A" w14:textId="7777777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0EFCB18B" w14:textId="7777777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0F33D7BF" w14:textId="7777777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6458B57D" w14:textId="13356CE6" w:rsidR="00572A82" w:rsidRPr="00915DEE" w:rsidRDefault="00282AC9" w:rsidP="00915DEE">
      <w:pPr>
        <w:tabs>
          <w:tab w:val="left" w:pos="1068"/>
        </w:tabs>
        <w:spacing w:line="360" w:lineRule="auto"/>
        <w:jc w:val="right"/>
        <w:rPr>
          <w:rFonts w:ascii="Verdana" w:hAnsi="Verdana" w:cs="Tahom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Kwalifikowany podpis elektroniczny</w:t>
      </w:r>
      <w:r w:rsidR="000C46D6"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lub</w:t>
      </w: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podpis zaufany lub podpis osobisty Wykonawcy.</w:t>
      </w:r>
    </w:p>
    <w:sectPr w:rsidR="00572A82" w:rsidRPr="00915DEE" w:rsidSect="00EB59DC">
      <w:headerReference w:type="first" r:id="rId7"/>
      <w:pgSz w:w="11900" w:h="16840"/>
      <w:pgMar w:top="1319" w:right="992" w:bottom="567" w:left="1276" w:header="142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DD4F4" w14:textId="77777777" w:rsidR="00F47215" w:rsidRDefault="00874E7B">
      <w:r>
        <w:separator/>
      </w:r>
    </w:p>
  </w:endnote>
  <w:endnote w:type="continuationSeparator" w:id="0">
    <w:p w14:paraId="21634F6A" w14:textId="77777777" w:rsidR="00F47215" w:rsidRDefault="0087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BC1ED" w14:textId="77777777" w:rsidR="00F47215" w:rsidRDefault="00874E7B">
      <w:r>
        <w:separator/>
      </w:r>
    </w:p>
  </w:footnote>
  <w:footnote w:type="continuationSeparator" w:id="0">
    <w:p w14:paraId="5FCA1068" w14:textId="77777777" w:rsidR="00F47215" w:rsidRDefault="0087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3C4B" w14:textId="77777777" w:rsidR="0085131B" w:rsidRDefault="0085131B" w:rsidP="0085131B">
    <w:pPr>
      <w:pStyle w:val="Nagwek"/>
      <w:tabs>
        <w:tab w:val="clear" w:pos="4536"/>
        <w:tab w:val="center" w:pos="5954"/>
        <w:tab w:val="left" w:pos="7920"/>
      </w:tabs>
      <w:rPr>
        <w:noProof/>
      </w:rPr>
    </w:pPr>
    <w:r w:rsidRPr="00BF1BFA">
      <w:rPr>
        <w:noProof/>
      </w:rPr>
      <w:drawing>
        <wp:inline distT="0" distB="0" distL="0" distR="0" wp14:anchorId="69A406BE" wp14:editId="54A398C3">
          <wp:extent cx="6197600" cy="5962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FC64F" w14:textId="77777777" w:rsidR="0085131B" w:rsidRDefault="0085131B" w:rsidP="0085131B">
    <w:pPr>
      <w:pStyle w:val="Nagwek"/>
      <w:tabs>
        <w:tab w:val="clear" w:pos="4536"/>
        <w:tab w:val="clear" w:pos="9072"/>
        <w:tab w:val="center" w:pos="5954"/>
        <w:tab w:val="left" w:pos="8222"/>
        <w:tab w:val="right" w:pos="9498"/>
      </w:tabs>
      <w:ind w:left="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2866B4" wp14:editId="5FF8D683">
          <wp:simplePos x="0" y="0"/>
          <wp:positionH relativeFrom="margin">
            <wp:posOffset>4735830</wp:posOffset>
          </wp:positionH>
          <wp:positionV relativeFrom="paragraph">
            <wp:posOffset>64770</wp:posOffset>
          </wp:positionV>
          <wp:extent cx="1200150" cy="352425"/>
          <wp:effectExtent l="0" t="0" r="0" b="0"/>
          <wp:wrapTight wrapText="bothSides">
            <wp:wrapPolygon edited="0">
              <wp:start x="0" y="0"/>
              <wp:lineTo x="0" y="21016"/>
              <wp:lineTo x="21257" y="21016"/>
              <wp:lineTo x="21257" y="0"/>
              <wp:lineTo x="0" y="0"/>
            </wp:wrapPolygon>
          </wp:wrapTight>
          <wp:docPr id="5" name="Obraz 5" descr="C:\Users\WojciechF\Documents\Medycyna\Urzędowe\Papiery firmowe, loga, szablony\loga\umed\Medical University of Lod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WojciechF\Documents\Medycyna\Urzędowe\Papiery firmowe, loga, szablony\loga\umed\Medical University of Lod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1BFA">
      <w:rPr>
        <w:noProof/>
      </w:rPr>
      <w:drawing>
        <wp:inline distT="0" distB="0" distL="0" distR="0" wp14:anchorId="684A5899" wp14:editId="0735CCD6">
          <wp:extent cx="1106805" cy="476885"/>
          <wp:effectExtent l="0" t="0" r="0" b="0"/>
          <wp:docPr id="3" name="Obraz 3" descr="Fix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ixNe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</w:t>
    </w:r>
  </w:p>
  <w:p w14:paraId="7297C653" w14:textId="77777777" w:rsidR="0085131B" w:rsidRDefault="0085131B" w:rsidP="0085131B">
    <w:pPr>
      <w:pStyle w:val="Nagwek"/>
      <w:tabs>
        <w:tab w:val="clear" w:pos="4536"/>
        <w:tab w:val="center" w:pos="5954"/>
        <w:tab w:val="left" w:pos="7920"/>
      </w:tabs>
      <w:ind w:left="284" w:right="276"/>
      <w:jc w:val="both"/>
      <w:rPr>
        <w:rFonts w:ascii="Calibri" w:hAnsi="Calibri"/>
        <w:sz w:val="14"/>
        <w:szCs w:val="14"/>
      </w:rPr>
    </w:pPr>
    <w:r w:rsidRPr="008E1F79">
      <w:rPr>
        <w:rFonts w:ascii="Calibri" w:hAnsi="Calibri"/>
        <w:b/>
        <w:sz w:val="14"/>
        <w:szCs w:val="14"/>
      </w:rPr>
      <w:t xml:space="preserve">Projekt </w:t>
    </w:r>
    <w:r w:rsidRPr="008E1F79">
      <w:rPr>
        <w:rFonts w:ascii="Calibri" w:hAnsi="Calibri"/>
        <w:b/>
        <w:i/>
        <w:sz w:val="14"/>
        <w:szCs w:val="14"/>
      </w:rPr>
      <w:t xml:space="preserve">„Wyleczymy </w:t>
    </w:r>
    <w:proofErr w:type="spellStart"/>
    <w:r w:rsidRPr="008E1F79">
      <w:rPr>
        <w:rFonts w:ascii="Calibri" w:hAnsi="Calibri"/>
        <w:b/>
        <w:i/>
        <w:sz w:val="14"/>
        <w:szCs w:val="14"/>
      </w:rPr>
      <w:t>Neutropenię</w:t>
    </w:r>
    <w:proofErr w:type="spellEnd"/>
    <w:r w:rsidRPr="008E1F79">
      <w:rPr>
        <w:rFonts w:ascii="Calibri" w:hAnsi="Calibri"/>
        <w:b/>
        <w:i/>
        <w:sz w:val="14"/>
        <w:szCs w:val="14"/>
      </w:rPr>
      <w:t xml:space="preserve"> (FIXNET): wykorzystanie identyfikacji zaburzeń funkcji proteaz granulocytów obojętnochłonnych jako nowych możliwości diagnostycznych i terapeutycznych” </w:t>
    </w:r>
    <w:r w:rsidRPr="008E1F79">
      <w:rPr>
        <w:rFonts w:ascii="Calibri" w:hAnsi="Calibri"/>
        <w:b/>
        <w:sz w:val="14"/>
        <w:szCs w:val="14"/>
      </w:rPr>
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POIR.04.04.00-00-1603/18</w:t>
    </w:r>
    <w:r>
      <w:rPr>
        <w:rFonts w:ascii="Calibri" w:hAnsi="Calibri"/>
        <w:sz w:val="14"/>
        <w:szCs w:val="14"/>
      </w:rPr>
      <w:t>.</w:t>
    </w:r>
  </w:p>
  <w:p w14:paraId="43A04148" w14:textId="77777777" w:rsidR="0085131B" w:rsidRDefault="0085131B" w:rsidP="0085131B">
    <w:pPr>
      <w:pStyle w:val="Nagwek"/>
      <w:tabs>
        <w:tab w:val="clear" w:pos="4536"/>
        <w:tab w:val="center" w:pos="5954"/>
        <w:tab w:val="left" w:pos="7920"/>
      </w:tabs>
      <w:ind w:left="284" w:right="425"/>
      <w:rPr>
        <w:rFonts w:ascii="Calibri" w:hAnsi="Calibri"/>
        <w:sz w:val="14"/>
        <w:szCs w:val="14"/>
      </w:rPr>
    </w:pPr>
  </w:p>
  <w:p w14:paraId="75F54CFB" w14:textId="77777777" w:rsidR="0085131B" w:rsidRDefault="0085131B" w:rsidP="0085131B">
    <w:pPr>
      <w:pStyle w:val="Nagwek"/>
    </w:pPr>
    <w:r w:rsidRPr="00A233EB">
      <w:rPr>
        <w:noProof/>
      </w:rPr>
      <w:drawing>
        <wp:inline distT="0" distB="0" distL="0" distR="0" wp14:anchorId="35FFECC2" wp14:editId="362A9F1A">
          <wp:extent cx="6197600" cy="5962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EA47" w14:textId="75E6DE01" w:rsidR="00DF262D" w:rsidRDefault="0085131B" w:rsidP="0085131B">
    <w:pPr>
      <w:ind w:left="284" w:right="276"/>
      <w:jc w:val="both"/>
      <w:rPr>
        <w:rFonts w:ascii="Calibri" w:hAnsi="Calibri" w:cs="Calibri"/>
        <w:b/>
        <w:sz w:val="14"/>
        <w:szCs w:val="14"/>
      </w:rPr>
    </w:pPr>
    <w:r w:rsidRPr="00160E1B">
      <w:rPr>
        <w:rFonts w:ascii="Calibri" w:hAnsi="Calibri" w:cs="Calibri"/>
        <w:b/>
        <w:sz w:val="14"/>
        <w:szCs w:val="14"/>
      </w:rPr>
      <w:t>Projekt „</w:t>
    </w:r>
    <w:r w:rsidRPr="00160E1B">
      <w:rPr>
        <w:rFonts w:ascii="Calibri" w:hAnsi="Calibri" w:cs="Calibri"/>
        <w:b/>
        <w:i/>
        <w:sz w:val="14"/>
        <w:szCs w:val="14"/>
      </w:rPr>
      <w:t xml:space="preserve">Platforma do szybkiego, </w:t>
    </w:r>
    <w:proofErr w:type="spellStart"/>
    <w:r w:rsidRPr="00160E1B">
      <w:rPr>
        <w:rFonts w:ascii="Calibri" w:hAnsi="Calibri" w:cs="Calibri"/>
        <w:b/>
        <w:i/>
        <w:sz w:val="14"/>
        <w:szCs w:val="14"/>
      </w:rPr>
      <w:t>bezznacznikowego</w:t>
    </w:r>
    <w:proofErr w:type="spellEnd"/>
    <w:r w:rsidRPr="00160E1B">
      <w:rPr>
        <w:rFonts w:ascii="Calibri" w:hAnsi="Calibri" w:cs="Calibri"/>
        <w:b/>
        <w:i/>
        <w:sz w:val="14"/>
        <w:szCs w:val="14"/>
      </w:rPr>
      <w:t xml:space="preserve"> obrazowania, identyfikacji i sortowania podtypów komórek białaczkowych (RAPID)” </w:t>
    </w:r>
    <w:r w:rsidRPr="00160E1B">
      <w:rPr>
        <w:rFonts w:ascii="Calibri" w:hAnsi="Calibri" w:cs="Calibri"/>
        <w:b/>
        <w:sz w:val="14"/>
        <w:szCs w:val="14"/>
      </w:rPr>
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POIR.04.04.00-00-16ED/18-00.</w:t>
    </w:r>
  </w:p>
  <w:p w14:paraId="34DFB32A" w14:textId="77777777" w:rsidR="00592B5B" w:rsidRDefault="00592B5B" w:rsidP="0085131B">
    <w:pPr>
      <w:ind w:left="284" w:right="27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FA47A49"/>
    <w:multiLevelType w:val="hybridMultilevel"/>
    <w:tmpl w:val="7612212A"/>
    <w:numStyleLink w:val="Zaimportowanystyl6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C9"/>
    <w:rsid w:val="000C46D6"/>
    <w:rsid w:val="00282AC9"/>
    <w:rsid w:val="003D7238"/>
    <w:rsid w:val="00485219"/>
    <w:rsid w:val="004E79D0"/>
    <w:rsid w:val="00572A82"/>
    <w:rsid w:val="00592B5B"/>
    <w:rsid w:val="0085131B"/>
    <w:rsid w:val="00874E7B"/>
    <w:rsid w:val="00915DEE"/>
    <w:rsid w:val="00AF1A4E"/>
    <w:rsid w:val="00C41DB4"/>
    <w:rsid w:val="00D101FB"/>
    <w:rsid w:val="00F21D98"/>
    <w:rsid w:val="00F47215"/>
    <w:rsid w:val="00F7547C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766"/>
  <w15:chartTrackingRefBased/>
  <w15:docId w15:val="{F482FBAB-B71B-4BC4-BFC9-3C59B6F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282AC9"/>
  </w:style>
  <w:style w:type="paragraph" w:styleId="Akapitzlist">
    <w:name w:val="List Paragraph"/>
    <w:uiPriority w:val="34"/>
    <w:qFormat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2">
    <w:name w:val="Zaimportowany styl 62"/>
    <w:rsid w:val="00282AC9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2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C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9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131B"/>
    <w:pPr>
      <w:tabs>
        <w:tab w:val="clear" w:pos="8441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31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31B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31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Monika Kaczmarek</cp:lastModifiedBy>
  <cp:revision>16</cp:revision>
  <dcterms:created xsi:type="dcterms:W3CDTF">2021-03-18T12:28:00Z</dcterms:created>
  <dcterms:modified xsi:type="dcterms:W3CDTF">2021-06-22T08:41:00Z</dcterms:modified>
</cp:coreProperties>
</file>