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067681A" w:rsidR="00D409DE" w:rsidRPr="00F82F17" w:rsidRDefault="001F027E" w:rsidP="00F16E8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bookmarkStart w:id="2" w:name="_Hlk149202560"/>
      <w:bookmarkStart w:id="3" w:name="_Hlk138310229"/>
      <w:r w:rsidR="00F82F17" w:rsidRPr="00F82F17">
        <w:rPr>
          <w:rFonts w:ascii="Arial" w:hAnsi="Arial" w:cs="Arial"/>
          <w:b/>
          <w:bCs/>
          <w:i/>
          <w:iCs/>
          <w:sz w:val="21"/>
          <w:szCs w:val="21"/>
        </w:rPr>
        <w:t>Wybór operatora telefonii mobilnej (komórkowej i Internetu mobilnego) dla Województwa Kujawsko-Pomorskiego Urzędu Marszałkowskiego w Toruniu na okres 36 miesięcy</w:t>
      </w:r>
      <w:bookmarkEnd w:id="2"/>
      <w:bookmarkEnd w:id="3"/>
      <w:r w:rsidR="00141DC5" w:rsidRPr="00141DC5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(Sprawa nr: ZW-I.272.</w:t>
      </w:r>
      <w:r w:rsidR="00A229B7">
        <w:rPr>
          <w:rFonts w:ascii="Arial" w:hAnsi="Arial" w:cs="Arial"/>
          <w:i/>
          <w:iCs/>
          <w:sz w:val="21"/>
          <w:szCs w:val="21"/>
        </w:rPr>
        <w:t>1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.202</w:t>
      </w:r>
      <w:r w:rsidR="00F82F17">
        <w:rPr>
          <w:rFonts w:ascii="Arial" w:hAnsi="Arial" w:cs="Arial"/>
          <w:i/>
          <w:iCs/>
          <w:sz w:val="21"/>
          <w:szCs w:val="21"/>
        </w:rPr>
        <w:t>4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4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5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5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6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6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7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7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8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8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9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9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1DC5"/>
    <w:rsid w:val="001542CB"/>
    <w:rsid w:val="00155573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2C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0922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9B7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445B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6D14"/>
    <w:rsid w:val="00EF74CA"/>
    <w:rsid w:val="00F04280"/>
    <w:rsid w:val="00F16E8C"/>
    <w:rsid w:val="00F259C4"/>
    <w:rsid w:val="00F365F2"/>
    <w:rsid w:val="00F43919"/>
    <w:rsid w:val="00F53D6B"/>
    <w:rsid w:val="00F55578"/>
    <w:rsid w:val="00F82F1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Kriger-Bulska</cp:lastModifiedBy>
  <cp:revision>2</cp:revision>
  <cp:lastPrinted>2016-07-26T10:32:00Z</cp:lastPrinted>
  <dcterms:created xsi:type="dcterms:W3CDTF">2024-01-05T09:35:00Z</dcterms:created>
  <dcterms:modified xsi:type="dcterms:W3CDTF">2024-01-05T09:35:00Z</dcterms:modified>
</cp:coreProperties>
</file>