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B57D5A">
        <w:t>Dz.U. z 2023 r., poz. 1605</w:t>
      </w:r>
      <w:r w:rsidR="003545CD">
        <w:t xml:space="preserve"> </w:t>
      </w:r>
      <w:r>
        <w:t xml:space="preserve">z </w:t>
      </w:r>
      <w:proofErr w:type="spellStart"/>
      <w:r>
        <w:t>późn</w:t>
      </w:r>
      <w:proofErr w:type="spellEnd"/>
      <w:r>
        <w:t>.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 xml:space="preserve">ego samochodu </w:t>
      </w:r>
      <w:r w:rsidR="00ED7919">
        <w:rPr>
          <w:rFonts w:asciiTheme="minorHAnsi" w:hAnsiTheme="minorHAnsi" w:cstheme="minorHAnsi"/>
          <w:b/>
          <w:bCs/>
        </w:rPr>
        <w:t>kwatermistrzowskiego</w:t>
      </w:r>
      <w:r w:rsidR="006A76B4" w:rsidRPr="006A76B4">
        <w:rPr>
          <w:rFonts w:asciiTheme="minorHAnsi" w:hAnsiTheme="minorHAnsi" w:cstheme="minorHAnsi"/>
          <w:b/>
          <w:bCs/>
        </w:rPr>
        <w:t xml:space="preserve"> do KM PSP 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6103C1">
        <w:rPr>
          <w:sz w:val="20"/>
          <w:szCs w:val="20"/>
        </w:rPr>
        <w:t>7</w:t>
      </w:r>
      <w:r w:rsidR="009F0BF7">
        <w:rPr>
          <w:sz w:val="20"/>
          <w:szCs w:val="20"/>
        </w:rPr>
        <w:t>.2023</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D94128">
      <w:pPr>
        <w:ind w:left="5040" w:firstLine="720"/>
        <w:rPr>
          <w:sz w:val="20"/>
          <w:szCs w:val="20"/>
        </w:rPr>
      </w:pPr>
      <w:r w:rsidRPr="00761D15">
        <w:rPr>
          <w:sz w:val="20"/>
          <w:szCs w:val="20"/>
        </w:rPr>
        <w:t>ZATWIERDZAM:</w:t>
      </w:r>
    </w:p>
    <w:p w:rsidR="009F0BF7" w:rsidRPr="009F0BF7" w:rsidRDefault="009F0BF7" w:rsidP="00B57D5A">
      <w:pPr>
        <w:rPr>
          <w:rFonts w:eastAsia="Calibri"/>
          <w:sz w:val="20"/>
          <w:szCs w:val="20"/>
          <w:lang w:eastAsia="en-US"/>
        </w:rPr>
      </w:pPr>
    </w:p>
    <w:p w:rsidR="009F0BF7" w:rsidRPr="009F0BF7" w:rsidRDefault="009F0BF7" w:rsidP="009F0BF7">
      <w:pPr>
        <w:jc w:val="center"/>
        <w:rPr>
          <w:rFonts w:eastAsia="Calibri"/>
          <w:sz w:val="20"/>
          <w:szCs w:val="20"/>
          <w:lang w:eastAsia="en-US"/>
        </w:rPr>
      </w:pPr>
      <w:r w:rsidRPr="009F0BF7">
        <w:rPr>
          <w:rFonts w:eastAsia="Calibri"/>
          <w:sz w:val="20"/>
          <w:szCs w:val="20"/>
          <w:lang w:eastAsia="en-US"/>
        </w:rPr>
        <w:t xml:space="preserve">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 xml:space="preserve">                 </w:t>
      </w:r>
      <w:r w:rsidR="00B57D5A">
        <w:rPr>
          <w:rFonts w:eastAsia="Calibri"/>
          <w:sz w:val="20"/>
          <w:szCs w:val="20"/>
          <w:lang w:eastAsia="en-US"/>
        </w:rPr>
        <w:t>KOMENDANT MIEJSKI</w:t>
      </w:r>
    </w:p>
    <w:p w:rsidR="009F0BF7" w:rsidRPr="009F0BF7" w:rsidRDefault="009F0BF7" w:rsidP="009F0BF7">
      <w:pPr>
        <w:ind w:left="4320"/>
        <w:jc w:val="center"/>
        <w:rPr>
          <w:rFonts w:eastAsia="Calibri"/>
          <w:sz w:val="20"/>
          <w:szCs w:val="20"/>
          <w:lang w:eastAsia="en-US"/>
        </w:rPr>
      </w:pPr>
      <w:r>
        <w:rPr>
          <w:rFonts w:eastAsia="Calibri"/>
          <w:sz w:val="20"/>
          <w:szCs w:val="20"/>
          <w:lang w:eastAsia="en-US"/>
        </w:rPr>
        <w:t xml:space="preserve">    </w:t>
      </w:r>
      <w:r w:rsidRPr="009F0BF7">
        <w:rPr>
          <w:rFonts w:eastAsia="Calibri"/>
          <w:sz w:val="20"/>
          <w:szCs w:val="20"/>
          <w:lang w:eastAsia="en-US"/>
        </w:rPr>
        <w:t xml:space="preserve">PAŃSTWOWEJ STRAŻY POŻARNEJ </w:t>
      </w:r>
      <w:r>
        <w:rPr>
          <w:rFonts w:eastAsia="Calibri"/>
          <w:sz w:val="20"/>
          <w:szCs w:val="20"/>
          <w:lang w:eastAsia="en-US"/>
        </w:rPr>
        <w:br/>
      </w:r>
      <w:r w:rsidRPr="009F0BF7">
        <w:rPr>
          <w:rFonts w:eastAsia="Calibri"/>
          <w:sz w:val="20"/>
          <w:szCs w:val="20"/>
          <w:lang w:eastAsia="en-US"/>
        </w:rPr>
        <w:t>W GLIWICACH</w:t>
      </w:r>
    </w:p>
    <w:p w:rsidR="009F0BF7" w:rsidRDefault="009F0BF7" w:rsidP="009F0BF7">
      <w:pPr>
        <w:ind w:left="3600"/>
        <w:jc w:val="center"/>
        <w:rPr>
          <w:rFonts w:eastAsia="Calibri"/>
          <w:sz w:val="20"/>
          <w:szCs w:val="20"/>
          <w:lang w:eastAsia="en-US"/>
        </w:rPr>
      </w:pPr>
      <w:r>
        <w:rPr>
          <w:rFonts w:eastAsia="Calibri"/>
          <w:sz w:val="20"/>
          <w:szCs w:val="20"/>
          <w:lang w:eastAsia="en-US"/>
        </w:rPr>
        <w:t xml:space="preserve">                 </w:t>
      </w:r>
      <w:r w:rsidRPr="009F0BF7">
        <w:rPr>
          <w:rFonts w:eastAsia="Calibri"/>
          <w:sz w:val="20"/>
          <w:szCs w:val="20"/>
          <w:lang w:eastAsia="en-US"/>
        </w:rPr>
        <w:t xml:space="preserve">st. bryg. mgr inż. </w:t>
      </w:r>
      <w:r w:rsidR="00B57D5A">
        <w:rPr>
          <w:rFonts w:eastAsia="Calibri"/>
          <w:sz w:val="20"/>
          <w:szCs w:val="20"/>
          <w:lang w:eastAsia="en-US"/>
        </w:rPr>
        <w:t>Roman Klecha</w:t>
      </w:r>
    </w:p>
    <w:p w:rsidR="005B356F" w:rsidRPr="00B57D5A" w:rsidRDefault="00B57D5A" w:rsidP="00B57D5A">
      <w:pPr>
        <w:ind w:left="4320"/>
        <w:rPr>
          <w:rFonts w:eastAsia="Calibri"/>
          <w:sz w:val="20"/>
          <w:szCs w:val="20"/>
          <w:lang w:eastAsia="en-US"/>
        </w:rPr>
      </w:pPr>
      <w:r>
        <w:rPr>
          <w:rFonts w:eastAsia="Calibri"/>
          <w:sz w:val="20"/>
          <w:szCs w:val="20"/>
          <w:lang w:eastAsia="en-US"/>
        </w:rPr>
        <w:t xml:space="preserve">           </w:t>
      </w: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A372AB">
      <w:pPr>
        <w:jc w:val="center"/>
        <w:rPr>
          <w:b/>
        </w:rPr>
      </w:pPr>
      <w:r>
        <w:rPr>
          <w:b/>
        </w:rPr>
        <w:t>sierpień</w:t>
      </w:r>
      <w:r w:rsidR="00826882" w:rsidRPr="009631FB">
        <w:rPr>
          <w:b/>
        </w:rPr>
        <w:t xml:space="preserve"> </w:t>
      </w:r>
      <w:r w:rsidR="00FF7B3A">
        <w:rPr>
          <w:b/>
        </w:rPr>
        <w:t>2023</w:t>
      </w:r>
    </w:p>
    <w:p w:rsidR="005B356F" w:rsidRDefault="00D375AB">
      <w:pPr>
        <w:pStyle w:val="Nagwek2"/>
      </w:pPr>
      <w:bookmarkStart w:id="0" w:name="_kabgz8l7slm3" w:colFirst="0" w:colLast="0"/>
      <w:bookmarkEnd w:id="0"/>
      <w:r>
        <w:lastRenderedPageBreak/>
        <w:t>I. Nazwa oraz adres Zamawiającego</w:t>
      </w:r>
    </w:p>
    <w:p w:rsidR="005B356F" w:rsidRPr="009A59E9" w:rsidRDefault="00100D34">
      <w:pPr>
        <w:spacing w:before="240" w:after="240"/>
        <w:rPr>
          <w:b/>
        </w:rPr>
      </w:pPr>
      <w:r w:rsidRPr="009A59E9">
        <w:rPr>
          <w:b/>
        </w:rPr>
        <w:t>Komenda Miejska</w:t>
      </w:r>
      <w:r w:rsidR="00D15A72" w:rsidRPr="009A59E9">
        <w:rPr>
          <w:b/>
        </w:rPr>
        <w:t xml:space="preserve"> Państwowej Straży Pożarnej w </w:t>
      </w:r>
      <w:r w:rsidRPr="009A59E9">
        <w:rPr>
          <w:b/>
        </w:rPr>
        <w:t>Gliwicach</w:t>
      </w:r>
      <w:r w:rsidR="00D15A72" w:rsidRPr="009A59E9">
        <w:rPr>
          <w:b/>
        </w:rPr>
        <w:t xml:space="preserve"> </w:t>
      </w:r>
    </w:p>
    <w:p w:rsidR="00D15A72" w:rsidRPr="009A59E9" w:rsidRDefault="00D15A72" w:rsidP="00D15A72">
      <w:r w:rsidRPr="009A59E9">
        <w:t xml:space="preserve">ul. </w:t>
      </w:r>
      <w:r w:rsidR="00100D34" w:rsidRPr="009A59E9">
        <w:t>Wrocławska 1</w:t>
      </w:r>
    </w:p>
    <w:p w:rsidR="005B356F" w:rsidRPr="009A59E9" w:rsidRDefault="00100D34" w:rsidP="00D15A72">
      <w:pPr>
        <w:spacing w:before="240" w:after="240"/>
        <w:rPr>
          <w:b/>
          <w:color w:val="FF9900"/>
        </w:rPr>
      </w:pPr>
      <w:r w:rsidRPr="009A59E9">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r w:rsidR="009A59E9">
        <w:rPr>
          <w:b/>
        </w:rPr>
        <w:t xml:space="preserve">; </w:t>
      </w:r>
      <w:r w:rsidR="009A59E9" w:rsidRPr="009A59E9">
        <w:rPr>
          <w:b/>
        </w:rPr>
        <w:t>REGON 273073013</w:t>
      </w:r>
    </w:p>
    <w:p w:rsidR="005B356F" w:rsidRDefault="00D375AB">
      <w:pPr>
        <w:spacing w:before="240" w:after="240"/>
      </w:pPr>
      <w:r>
        <w:t>Godziny pracy Zamawiającego:</w:t>
      </w:r>
      <w:r w:rsidR="005F6EA7">
        <w:t xml:space="preserve"> 7.30-15.30</w:t>
      </w:r>
    </w:p>
    <w:p w:rsidR="00D15A72" w:rsidRPr="009A59E9" w:rsidRDefault="00F27856" w:rsidP="00D15A72">
      <w:pPr>
        <w:rPr>
          <w:szCs w:val="20"/>
          <w:lang w:val="en-US"/>
        </w:rPr>
      </w:pPr>
      <w:r w:rsidRPr="009A59E9">
        <w:rPr>
          <w:szCs w:val="20"/>
          <w:lang w:val="en-US"/>
        </w:rPr>
        <w:t>tel. 47 851 06 00, fax. 47 851 06 04</w:t>
      </w:r>
      <w:r w:rsidR="003A7905" w:rsidRPr="009A59E9">
        <w:rPr>
          <w:szCs w:val="20"/>
          <w:lang w:val="en-US"/>
        </w:rPr>
        <w:t xml:space="preserve"> </w:t>
      </w:r>
    </w:p>
    <w:p w:rsidR="00D15A72" w:rsidRPr="009A59E9" w:rsidRDefault="00D15A72" w:rsidP="00D15A72">
      <w:pPr>
        <w:rPr>
          <w:szCs w:val="20"/>
          <w:lang w:val="en-US"/>
        </w:rPr>
      </w:pPr>
      <w:r w:rsidRPr="009A59E9">
        <w:rPr>
          <w:szCs w:val="20"/>
          <w:lang w:val="en-US"/>
        </w:rPr>
        <w:t xml:space="preserve">e-mail: </w:t>
      </w:r>
      <w:r w:rsidR="003A7905" w:rsidRPr="009A59E9">
        <w:rPr>
          <w:szCs w:val="20"/>
          <w:u w:val="single"/>
          <w:lang w:val="en-US"/>
        </w:rPr>
        <w:t>kmpsp@kmpsp.gliwice</w:t>
      </w:r>
      <w:r w:rsidRPr="009A59E9">
        <w:rPr>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9A7D8D">
      <w:pPr>
        <w:numPr>
          <w:ilvl w:val="0"/>
          <w:numId w:val="21"/>
        </w:numPr>
        <w:spacing w:line="360" w:lineRule="auto"/>
        <w:ind w:left="426"/>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770423">
      <w:pPr>
        <w:numPr>
          <w:ilvl w:val="0"/>
          <w:numId w:val="21"/>
        </w:numPr>
        <w:spacing w:line="360" w:lineRule="auto"/>
        <w:ind w:left="426"/>
        <w:jc w:val="both"/>
        <w:rPr>
          <w:sz w:val="20"/>
          <w:szCs w:val="20"/>
        </w:rPr>
      </w:pPr>
      <w:r>
        <w:rPr>
          <w:sz w:val="20"/>
          <w:szCs w:val="20"/>
        </w:rPr>
        <w:t>Zamawiający nie prowadzi postępowania w celu zawarcia umowy ramowej.</w:t>
      </w:r>
    </w:p>
    <w:p w:rsidR="006831E4" w:rsidRPr="00770423" w:rsidRDefault="006831E4" w:rsidP="00770423">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 xml:space="preserve">ego samochodu </w:t>
      </w:r>
      <w:r w:rsidR="00770423">
        <w:rPr>
          <w:color w:val="000000"/>
          <w:sz w:val="20"/>
          <w:szCs w:val="20"/>
        </w:rPr>
        <w:t>kwatermistrzowskiego</w:t>
      </w:r>
      <w:r w:rsidR="009A6384" w:rsidRPr="009A6384">
        <w:rPr>
          <w:color w:val="000000"/>
          <w:sz w:val="20"/>
          <w:szCs w:val="20"/>
        </w:rPr>
        <w:t xml:space="preserve"> do KM PSP </w:t>
      </w:r>
      <w:r w:rsidR="00770423">
        <w:rPr>
          <w:color w:val="000000"/>
          <w:sz w:val="20"/>
          <w:szCs w:val="20"/>
        </w:rPr>
        <w:br/>
      </w:r>
      <w:r w:rsidR="009A6384" w:rsidRPr="009A6384">
        <w:rPr>
          <w:color w:val="000000"/>
          <w:sz w:val="20"/>
          <w:szCs w:val="20"/>
        </w:rPr>
        <w:t>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 xml:space="preserve">Wykonawca winien udzielić gwarancji oraz rękojmi na przedmiot zamówienia, Gwarancja oraz rękojmia na pojazd (podwozie, zabudowa) i wyposażenie min. 24 miesiące. Maksymalny okres punktowanej gwarancji wynosi </w:t>
      </w:r>
      <w:r w:rsidRPr="00AA024F">
        <w:rPr>
          <w:sz w:val="20"/>
          <w:szCs w:val="20"/>
        </w:rPr>
        <w:t>84 miesiące</w:t>
      </w:r>
      <w:r w:rsidRPr="00770423">
        <w:rPr>
          <w:color w:val="FF0000"/>
          <w:sz w:val="20"/>
          <w:szCs w:val="20"/>
        </w:rPr>
        <w:t xml:space="preserve">. </w:t>
      </w:r>
      <w:r w:rsidRPr="005326D1">
        <w:rPr>
          <w:sz w:val="20"/>
          <w:szCs w:val="20"/>
        </w:rPr>
        <w:t>Okres gwarancji jakości równy jest okresowi rękojmi za wady. 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770423" w:rsidRDefault="00D375AB" w:rsidP="0077042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216417">
        <w:rPr>
          <w:b/>
          <w:sz w:val="20"/>
          <w:szCs w:val="20"/>
        </w:rPr>
        <w:t>2</w:t>
      </w:r>
      <w:r w:rsidR="00E42E82">
        <w:rPr>
          <w:b/>
          <w:sz w:val="20"/>
          <w:szCs w:val="20"/>
        </w:rPr>
        <w:t>9</w:t>
      </w:r>
      <w:r w:rsidR="00261EFD">
        <w:rPr>
          <w:b/>
          <w:sz w:val="20"/>
          <w:szCs w:val="20"/>
        </w:rPr>
        <w:t xml:space="preserve"> </w:t>
      </w:r>
      <w:r w:rsidR="00216417">
        <w:rPr>
          <w:b/>
          <w:sz w:val="20"/>
          <w:szCs w:val="20"/>
        </w:rPr>
        <w:t>wrzesień</w:t>
      </w:r>
      <w:r w:rsidR="008E0ED6">
        <w:rPr>
          <w:b/>
          <w:sz w:val="20"/>
          <w:szCs w:val="20"/>
        </w:rPr>
        <w:t xml:space="preserve"> 202</w:t>
      </w:r>
      <w:r w:rsidR="00216417">
        <w:rPr>
          <w:b/>
          <w:sz w:val="20"/>
          <w:szCs w:val="20"/>
        </w:rPr>
        <w:t>3</w:t>
      </w:r>
      <w:r w:rsidR="00ED7E61" w:rsidRPr="00ED7E61">
        <w:rPr>
          <w:b/>
          <w:sz w:val="20"/>
          <w:szCs w:val="20"/>
        </w:rPr>
        <w:t xml:space="preserve">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D85A1B" w:rsidRDefault="0047100F" w:rsidP="000E4736">
      <w:pPr>
        <w:pStyle w:val="Nagwek51"/>
        <w:keepNext/>
        <w:keepLines/>
        <w:numPr>
          <w:ilvl w:val="2"/>
          <w:numId w:val="16"/>
        </w:numPr>
        <w:shd w:val="clear" w:color="auto" w:fill="auto"/>
        <w:tabs>
          <w:tab w:val="left" w:pos="647"/>
        </w:tabs>
        <w:spacing w:before="0" w:line="259" w:lineRule="exact"/>
        <w:ind w:left="851"/>
      </w:pPr>
      <w:bookmarkStart w:id="8" w:name="bookmark7"/>
      <w:r>
        <w:t>sytuacji ekonomicznej lub finansowej:</w:t>
      </w:r>
      <w:bookmarkEnd w:id="8"/>
    </w:p>
    <w:p w:rsidR="008462DD" w:rsidRPr="000E4736" w:rsidRDefault="00B723E5" w:rsidP="000E4736">
      <w:pPr>
        <w:pStyle w:val="Tekstpodstawowywcity"/>
        <w:spacing w:after="0" w:line="360" w:lineRule="auto"/>
        <w:ind w:left="567" w:hanging="567"/>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B723E5" w:rsidRPr="007372AA" w:rsidRDefault="00D375AB" w:rsidP="000E4736">
      <w:pPr>
        <w:numPr>
          <w:ilvl w:val="0"/>
          <w:numId w:val="4"/>
        </w:numPr>
        <w:spacing w:line="360" w:lineRule="auto"/>
        <w:ind w:left="851" w:right="20"/>
        <w:jc w:val="both"/>
        <w:rPr>
          <w:sz w:val="20"/>
          <w:szCs w:val="20"/>
        </w:rPr>
      </w:pPr>
      <w:r>
        <w:rPr>
          <w:b/>
          <w:sz w:val="20"/>
          <w:szCs w:val="20"/>
        </w:rPr>
        <w:t>zdolności technicznej lub zawodowej:</w:t>
      </w:r>
    </w:p>
    <w:p w:rsidR="007372AA" w:rsidRPr="00B723E5" w:rsidRDefault="00063B57" w:rsidP="000E4736">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w:t>
      </w:r>
      <w:r w:rsidRPr="005649EA">
        <w:rPr>
          <w:b/>
          <w:sz w:val="20"/>
          <w:u w:val="single"/>
        </w:rPr>
        <w:t>żąda złożenia</w:t>
      </w:r>
      <w:r w:rsidRPr="005649EA">
        <w:rPr>
          <w:sz w:val="20"/>
          <w:u w:val="single"/>
        </w:rPr>
        <w:t xml:space="preserve">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9A79D8" w:rsidRPr="009A79D8" w:rsidRDefault="009A79D8" w:rsidP="009A79D8">
      <w:pPr>
        <w:numPr>
          <w:ilvl w:val="0"/>
          <w:numId w:val="9"/>
        </w:numPr>
        <w:spacing w:line="360" w:lineRule="auto"/>
        <w:ind w:left="284" w:hanging="426"/>
        <w:jc w:val="both"/>
        <w:rPr>
          <w:b/>
          <w:sz w:val="20"/>
          <w:szCs w:val="20"/>
        </w:rPr>
      </w:pPr>
      <w:r w:rsidRPr="009A79D8">
        <w:rPr>
          <w:b/>
          <w:sz w:val="20"/>
          <w:szCs w:val="20"/>
        </w:rPr>
        <w:t>Dokumenty składane na wezwanie:</w:t>
      </w:r>
    </w:p>
    <w:p w:rsidR="009A79D8" w:rsidRPr="009A79D8" w:rsidRDefault="009A79D8" w:rsidP="009A79D8">
      <w:pPr>
        <w:spacing w:line="360" w:lineRule="auto"/>
        <w:ind w:left="284"/>
        <w:jc w:val="both"/>
        <w:rPr>
          <w:sz w:val="20"/>
          <w:szCs w:val="20"/>
        </w:rPr>
      </w:pPr>
      <w:r w:rsidRPr="009A79D8">
        <w:rPr>
          <w:sz w:val="20"/>
          <w:szCs w:val="20"/>
        </w:rPr>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9A79D8" w:rsidRDefault="00D375AB" w:rsidP="00146C73">
      <w:pPr>
        <w:spacing w:line="360" w:lineRule="auto"/>
        <w:ind w:left="284"/>
        <w:jc w:val="both"/>
        <w:rPr>
          <w:b/>
          <w:sz w:val="20"/>
          <w:szCs w:val="20"/>
        </w:rPr>
      </w:pPr>
      <w:r w:rsidRPr="009A79D8">
        <w:rPr>
          <w:b/>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lastRenderedPageBreak/>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E04F70">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 xml:space="preserve">ust. 3 pkt 2, składa dokument lub dokumenty wystawione w kraju, w którym Wykonawca ma siedzibę lub miejsce zamieszkania, potwierdzające odpowiednio, że nie otwarto jego likwidacji </w:t>
      </w:r>
      <w:r w:rsidR="00D375AB" w:rsidRPr="00276FDA">
        <w:rPr>
          <w:sz w:val="20"/>
          <w:szCs w:val="20"/>
        </w:rPr>
        <w:lastRenderedPageBreak/>
        <w:t>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1" w:name="_gb4nrns0uw97" w:colFirst="0" w:colLast="0"/>
      <w:bookmarkEnd w:id="11"/>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2" w:name="_lodptpqf2xh0" w:colFirst="0" w:colLast="0"/>
      <w:bookmarkEnd w:id="12"/>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3" w:name="_tp7vefgpgfgi" w:colFirst="0" w:colLast="0"/>
      <w:bookmarkEnd w:id="13"/>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lastRenderedPageBreak/>
        <w:t>MT</w:t>
      </w:r>
      <w:r w:rsidR="00C00D23">
        <w:rPr>
          <w:rStyle w:val="Teksttreci2Pogrubienie"/>
        </w:rPr>
        <w:t>.2370.</w:t>
      </w:r>
      <w:r w:rsidR="008917BA">
        <w:rPr>
          <w:rStyle w:val="Teksttreci2Pogrubienie"/>
        </w:rPr>
        <w:t>7</w:t>
      </w:r>
      <w:r w:rsidR="005649EA">
        <w:rPr>
          <w:rStyle w:val="Teksttreci2Pogrubienie"/>
        </w:rPr>
        <w:t>.2023</w:t>
      </w:r>
      <w:r w:rsidR="00A72A74">
        <w:rPr>
          <w:rStyle w:val="Teksttreci2Pogrubienie"/>
        </w:rPr>
        <w:t xml:space="preserve">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852007">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8" w:history="1">
        <w:r w:rsidR="005649EA" w:rsidRPr="00F45960">
          <w:rPr>
            <w:rStyle w:val="Hipercze"/>
            <w:b/>
            <w:sz w:val="20"/>
          </w:rPr>
          <w:t>https://platformazakupowa.pl/transakcja/</w:t>
        </w:r>
        <w:r w:rsidR="00852007" w:rsidRPr="00852007">
          <w:rPr>
            <w:rStyle w:val="Hipercze"/>
            <w:b/>
            <w:sz w:val="20"/>
          </w:rPr>
          <w:t xml:space="preserve">808383 </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Oznaczenie czasu odbioru danych przez platformę zakupową stanowi datę oraz </w:t>
      </w:r>
      <w:r w:rsidRPr="00CD0448">
        <w:rPr>
          <w:rFonts w:ascii="Arial" w:hAnsi="Arial" w:cs="Arial"/>
          <w:sz w:val="20"/>
          <w:szCs w:val="20"/>
        </w:rPr>
        <w:lastRenderedPageBreak/>
        <w:t>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5"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4" w:name="_rq2udys4csh9" w:colFirst="0" w:colLast="0"/>
      <w:bookmarkEnd w:id="14"/>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5" w:name="bookmark10"/>
      <w:r w:rsidRPr="006D0A0A">
        <w:rPr>
          <w:bCs w:val="0"/>
          <w:u w:val="single"/>
        </w:rPr>
        <w:t>Wymagania podstawowe</w:t>
      </w:r>
      <w:r w:rsidRPr="006D0A0A">
        <w:rPr>
          <w:u w:val="single"/>
        </w:rPr>
        <w:t>:</w:t>
      </w:r>
      <w:bookmarkEnd w:id="15"/>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6" w:name="bookmark11"/>
      <w:r w:rsidRPr="006D0A0A">
        <w:rPr>
          <w:bCs w:val="0"/>
          <w:u w:val="single"/>
        </w:rPr>
        <w:t>Forma oferty:</w:t>
      </w:r>
      <w:bookmarkEnd w:id="16"/>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xml:space="preserve">,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lastRenderedPageBreak/>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w:t>
      </w:r>
      <w:r w:rsidRPr="001F0ED8">
        <w:rPr>
          <w:rFonts w:ascii="Arial" w:hAnsi="Arial" w:cs="Arial"/>
          <w:sz w:val="20"/>
          <w:szCs w:val="20"/>
        </w:rPr>
        <w:lastRenderedPageBreak/>
        <w:t xml:space="preserve">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7"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7"/>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 xml:space="preserve">W przypadku gdy dokumenty elektroniczne w postępowaniu zawierają informacje stanowiące tajemnicę przedsiębiorstwa, wykonawca, w celu utrzymania w poufności tych informacji, przekazuje je w wydzielonym i odpowiednio oznaczonym pliku. wraz z jednoczesnym zaznaczeniem </w:t>
      </w:r>
      <w:r w:rsidRPr="001F0ED8">
        <w:rPr>
          <w:rFonts w:ascii="Arial" w:hAnsi="Arial" w:cs="Arial"/>
          <w:sz w:val="20"/>
          <w:szCs w:val="20"/>
        </w:rPr>
        <w:lastRenderedPageBreak/>
        <w:t>„Załącznik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8" w:name="bookmark13"/>
      <w:r w:rsidRPr="00BE3629">
        <w:rPr>
          <w:bCs w:val="0"/>
          <w:u w:val="single"/>
        </w:rPr>
        <w:t>Wykonawcy wspólnie ubiegający się o udzielenie zamówienia:</w:t>
      </w:r>
      <w:bookmarkEnd w:id="18"/>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19" w:name="_c8de4rg6s4kb" w:colFirst="0" w:colLast="0"/>
      <w:bookmarkEnd w:id="19"/>
      <w:r>
        <w:lastRenderedPageBreak/>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A7C98">
      <w:pPr>
        <w:numPr>
          <w:ilvl w:val="0"/>
          <w:numId w:val="5"/>
        </w:numPr>
        <w:spacing w:line="360" w:lineRule="auto"/>
        <w:ind w:left="426" w:hanging="709"/>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0" w:name="_1wm6hsxsy23e" w:colFirst="0" w:colLast="0"/>
      <w:bookmarkEnd w:id="20"/>
      <w:r w:rsidRPr="00B146E7">
        <w:t>XV</w:t>
      </w:r>
      <w:r w:rsidR="004D20D5">
        <w:t>I</w:t>
      </w:r>
      <w:r>
        <w:rPr>
          <w:sz w:val="26"/>
          <w:szCs w:val="26"/>
        </w:rPr>
        <w:t xml:space="preserve">. </w:t>
      </w:r>
      <w:r w:rsidRPr="00B146E7">
        <w:t>Wymagania dotyczące wadium</w:t>
      </w:r>
    </w:p>
    <w:p w:rsidR="004E6B80" w:rsidRPr="00AA0E8E" w:rsidRDefault="004E6B80" w:rsidP="00015C4C">
      <w:pPr>
        <w:pStyle w:val="Akapitzlist"/>
        <w:numPr>
          <w:ilvl w:val="1"/>
          <w:numId w:val="5"/>
        </w:numPr>
        <w:spacing w:line="360" w:lineRule="auto"/>
        <w:rPr>
          <w:rFonts w:ascii="Arial" w:hAnsi="Arial" w:cs="Arial"/>
          <w:sz w:val="20"/>
          <w:szCs w:val="20"/>
        </w:rPr>
      </w:pPr>
      <w:r w:rsidRPr="00AA0E8E">
        <w:rPr>
          <w:rFonts w:ascii="Arial" w:hAnsi="Arial" w:cs="Arial"/>
          <w:sz w:val="20"/>
          <w:szCs w:val="20"/>
        </w:rPr>
        <w:t xml:space="preserve">Oferta musi być zabezpieczona wadium w wysokości: </w:t>
      </w:r>
      <w:r w:rsidR="00CA7C98">
        <w:rPr>
          <w:rFonts w:ascii="Arial" w:hAnsi="Arial" w:cs="Arial"/>
          <w:sz w:val="20"/>
          <w:szCs w:val="20"/>
        </w:rPr>
        <w:t>2</w:t>
      </w:r>
      <w:r w:rsidRPr="00AA0E8E">
        <w:rPr>
          <w:rFonts w:ascii="Arial" w:hAnsi="Arial" w:cs="Arial"/>
          <w:sz w:val="20"/>
          <w:szCs w:val="20"/>
        </w:rPr>
        <w:t xml:space="preserve"> 000,00 zł (słownie:</w:t>
      </w:r>
      <w:r w:rsidR="00CA7C98">
        <w:rPr>
          <w:rFonts w:ascii="Arial" w:hAnsi="Arial" w:cs="Arial"/>
          <w:sz w:val="20"/>
          <w:szCs w:val="20"/>
        </w:rPr>
        <w:t xml:space="preserve"> dwa</w:t>
      </w:r>
      <w:r w:rsidR="00F00356">
        <w:rPr>
          <w:rFonts w:ascii="Arial" w:hAnsi="Arial" w:cs="Arial"/>
          <w:sz w:val="20"/>
          <w:szCs w:val="20"/>
        </w:rPr>
        <w:t xml:space="preserve"> tysiące</w:t>
      </w:r>
      <w:r w:rsidRPr="00AA0E8E">
        <w:rPr>
          <w:rFonts w:ascii="Arial" w:hAnsi="Arial" w:cs="Arial"/>
          <w:sz w:val="20"/>
          <w:szCs w:val="20"/>
        </w:rPr>
        <w:t xml:space="preserve">  zło</w:t>
      </w:r>
      <w:r w:rsidR="00015C4C">
        <w:rPr>
          <w:rFonts w:ascii="Arial" w:hAnsi="Arial" w:cs="Arial"/>
          <w:sz w:val="20"/>
          <w:szCs w:val="20"/>
        </w:rPr>
        <w:t xml:space="preserve">tych </w:t>
      </w:r>
      <w:bookmarkStart w:id="21" w:name="_GoBack"/>
      <w:bookmarkEnd w:id="21"/>
      <w:r w:rsidRPr="00AA0E8E">
        <w:rPr>
          <w:rFonts w:ascii="Arial" w:hAnsi="Arial" w:cs="Arial"/>
          <w:sz w:val="20"/>
          <w:szCs w:val="20"/>
        </w:rPr>
        <w:t>00/100);</w:t>
      </w:r>
      <w:r w:rsidRPr="00AA0E8E">
        <w:rPr>
          <w:rFonts w:ascii="Arial" w:hAnsi="Arial" w:cs="Arial"/>
          <w:sz w:val="20"/>
          <w:szCs w:val="20"/>
        </w:rPr>
        <w:br/>
        <w:t xml:space="preserve">Wadium należy wnieść w terminie do dnia </w:t>
      </w:r>
      <w:r w:rsidR="00CA7C98">
        <w:rPr>
          <w:rFonts w:ascii="Arial" w:hAnsi="Arial" w:cs="Arial"/>
          <w:sz w:val="20"/>
          <w:szCs w:val="20"/>
        </w:rPr>
        <w:t>31.0</w:t>
      </w:r>
      <w:r w:rsidR="005C689B">
        <w:rPr>
          <w:rFonts w:ascii="Arial" w:hAnsi="Arial" w:cs="Arial"/>
          <w:sz w:val="20"/>
          <w:szCs w:val="20"/>
        </w:rPr>
        <w:t>8</w:t>
      </w:r>
      <w:r w:rsidR="00CA7C98">
        <w:rPr>
          <w:rFonts w:ascii="Arial" w:hAnsi="Arial" w:cs="Arial"/>
          <w:sz w:val="20"/>
          <w:szCs w:val="20"/>
        </w:rPr>
        <w:t>.2023</w:t>
      </w:r>
      <w:r w:rsidR="00BD030F">
        <w:rPr>
          <w:rFonts w:ascii="Arial" w:hAnsi="Arial" w:cs="Arial"/>
          <w:sz w:val="20"/>
          <w:szCs w:val="20"/>
        </w:rPr>
        <w:t xml:space="preserve"> </w:t>
      </w:r>
      <w:r w:rsidR="00CA7C98">
        <w:rPr>
          <w:rFonts w:ascii="Arial" w:hAnsi="Arial" w:cs="Arial"/>
          <w:sz w:val="20"/>
          <w:szCs w:val="20"/>
        </w:rPr>
        <w:t>r. do godz. 10</w:t>
      </w:r>
      <w:r w:rsidRPr="00F73A44">
        <w:rPr>
          <w:rFonts w:ascii="Arial" w:hAnsi="Arial" w:cs="Arial"/>
          <w:sz w:val="20"/>
          <w:szCs w:val="20"/>
        </w:rPr>
        <w:t>:00.</w:t>
      </w:r>
    </w:p>
    <w:p w:rsidR="004E6B80" w:rsidRPr="00AA0E8E" w:rsidRDefault="004E6B80" w:rsidP="004E6B80">
      <w:pPr>
        <w:spacing w:line="360" w:lineRule="auto"/>
        <w:ind w:left="680" w:hanging="340"/>
        <w:jc w:val="both"/>
        <w:rPr>
          <w:sz w:val="20"/>
          <w:szCs w:val="20"/>
        </w:rPr>
      </w:pPr>
      <w:r w:rsidRPr="00AA0E8E">
        <w:rPr>
          <w:sz w:val="20"/>
          <w:szCs w:val="20"/>
        </w:rPr>
        <w:lastRenderedPageBreak/>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CA7C98">
        <w:rPr>
          <w:sz w:val="20"/>
          <w:szCs w:val="20"/>
        </w:rPr>
        <w:t>29</w:t>
      </w:r>
      <w:r w:rsidR="00374256" w:rsidRPr="006002FE">
        <w:rPr>
          <w:sz w:val="20"/>
          <w:szCs w:val="20"/>
        </w:rPr>
        <w:t xml:space="preserve"> </w:t>
      </w:r>
      <w:r w:rsidR="005C689B">
        <w:rPr>
          <w:sz w:val="20"/>
          <w:szCs w:val="20"/>
        </w:rPr>
        <w:t>września</w:t>
      </w:r>
      <w:r w:rsidR="00852768" w:rsidRPr="006002FE">
        <w:rPr>
          <w:sz w:val="20"/>
          <w:szCs w:val="20"/>
        </w:rPr>
        <w:t xml:space="preserve"> 202</w:t>
      </w:r>
      <w:r w:rsidR="00CA7C98">
        <w:rPr>
          <w:sz w:val="20"/>
          <w:szCs w:val="20"/>
        </w:rPr>
        <w:t>3</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lastRenderedPageBreak/>
        <w:t>XVI</w:t>
      </w:r>
      <w:r w:rsidR="004D20D5">
        <w:t>I</w:t>
      </w:r>
      <w:r w:rsidR="00663C23">
        <w:t>I</w:t>
      </w:r>
      <w:r>
        <w:t>. Miejsce i termin składania ofert</w:t>
      </w:r>
    </w:p>
    <w:p w:rsidR="005B356F" w:rsidRPr="004D20D5" w:rsidRDefault="00D375AB" w:rsidP="005C689B">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986291" w:rsidRPr="00430847">
          <w:rPr>
            <w:rStyle w:val="Hipercze"/>
            <w:b/>
            <w:sz w:val="20"/>
          </w:rPr>
          <w:t xml:space="preserve">https://platformazakupowa.pl/transakcja/808383 </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dnia </w:t>
      </w:r>
      <w:r w:rsidR="00CA7C98">
        <w:rPr>
          <w:b/>
          <w:bCs/>
          <w:sz w:val="20"/>
          <w:szCs w:val="20"/>
        </w:rPr>
        <w:t>31</w:t>
      </w:r>
      <w:r w:rsidR="003E3B25" w:rsidRPr="006002FE">
        <w:rPr>
          <w:b/>
          <w:bCs/>
          <w:sz w:val="20"/>
          <w:szCs w:val="20"/>
        </w:rPr>
        <w:t xml:space="preserve"> </w:t>
      </w:r>
      <w:r w:rsidR="005C689B">
        <w:rPr>
          <w:b/>
          <w:bCs/>
          <w:sz w:val="20"/>
          <w:szCs w:val="20"/>
        </w:rPr>
        <w:t>sierpień</w:t>
      </w:r>
      <w:r w:rsidR="00CA7C98">
        <w:rPr>
          <w:b/>
          <w:bCs/>
          <w:sz w:val="20"/>
          <w:szCs w:val="20"/>
        </w:rPr>
        <w:t xml:space="preserve"> 2023</w:t>
      </w:r>
      <w:r w:rsidR="00316B65" w:rsidRPr="006002FE">
        <w:rPr>
          <w:b/>
          <w:bCs/>
          <w:sz w:val="20"/>
          <w:szCs w:val="20"/>
        </w:rPr>
        <w:t xml:space="preserve"> r.</w:t>
      </w:r>
      <w:r w:rsidRPr="006002FE">
        <w:rPr>
          <w:b/>
          <w:bCs/>
          <w:sz w:val="20"/>
          <w:szCs w:val="20"/>
        </w:rPr>
        <w:t xml:space="preserve"> do godziny </w:t>
      </w:r>
      <w:r w:rsidR="00CA7C98">
        <w:rPr>
          <w:b/>
          <w:bCs/>
          <w:sz w:val="20"/>
          <w:szCs w:val="20"/>
        </w:rPr>
        <w:t>10</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4" w:name="_g4kmfra1vcqp" w:colFirst="0" w:colLast="0"/>
      <w:bookmarkEnd w:id="24"/>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CA7C98">
        <w:rPr>
          <w:b/>
          <w:sz w:val="20"/>
          <w:szCs w:val="20"/>
        </w:rPr>
        <w:t xml:space="preserve">31 </w:t>
      </w:r>
      <w:r w:rsidR="00986291">
        <w:rPr>
          <w:b/>
          <w:sz w:val="20"/>
          <w:szCs w:val="20"/>
        </w:rPr>
        <w:t>sierpień</w:t>
      </w:r>
      <w:r w:rsidR="00CA7C98">
        <w:rPr>
          <w:b/>
          <w:sz w:val="20"/>
          <w:szCs w:val="20"/>
        </w:rPr>
        <w:t xml:space="preserve"> 2023</w:t>
      </w:r>
      <w:r w:rsidR="009D43BF" w:rsidRPr="006002FE">
        <w:rPr>
          <w:b/>
          <w:sz w:val="20"/>
          <w:szCs w:val="20"/>
        </w:rPr>
        <w:t xml:space="preserve"> r. godz. </w:t>
      </w:r>
      <w:r w:rsidR="00CA7C98">
        <w:rPr>
          <w:b/>
          <w:sz w:val="20"/>
          <w:szCs w:val="20"/>
        </w:rPr>
        <w:t>10</w:t>
      </w:r>
      <w:r w:rsidR="009D43BF" w:rsidRPr="006002FE">
        <w:rPr>
          <w:b/>
          <w:sz w:val="20"/>
          <w:szCs w:val="20"/>
        </w:rPr>
        <w:t>.10,</w:t>
      </w:r>
      <w:r w:rsidRPr="006002FE">
        <w:rPr>
          <w:sz w:val="20"/>
          <w:szCs w:val="20"/>
        </w:rPr>
        <w:t xml:space="preserve"> nie później niż następnego dnia po dniu, w którym upłynął termin składania ofert tj. </w:t>
      </w:r>
      <w:r w:rsidR="00CA7C98">
        <w:rPr>
          <w:sz w:val="20"/>
          <w:szCs w:val="20"/>
        </w:rPr>
        <w:t>01</w:t>
      </w:r>
      <w:r w:rsidR="003E3B25" w:rsidRPr="006002FE">
        <w:rPr>
          <w:sz w:val="20"/>
          <w:szCs w:val="20"/>
        </w:rPr>
        <w:t xml:space="preserve"> </w:t>
      </w:r>
      <w:r w:rsidR="00986291">
        <w:rPr>
          <w:sz w:val="20"/>
          <w:szCs w:val="20"/>
        </w:rPr>
        <w:t>wrzesień</w:t>
      </w:r>
      <w:r w:rsidR="00852768" w:rsidRPr="006002FE">
        <w:rPr>
          <w:sz w:val="20"/>
          <w:szCs w:val="20"/>
        </w:rPr>
        <w:t xml:space="preserve"> 202</w:t>
      </w:r>
      <w:r w:rsidR="00CA7C98">
        <w:rPr>
          <w:sz w:val="20"/>
          <w:szCs w:val="20"/>
        </w:rPr>
        <w:t>3</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lastRenderedPageBreak/>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00025895">
        <w:rPr>
          <w:rFonts w:ascii="Arial" w:hAnsi="Arial" w:cs="Arial"/>
          <w:sz w:val="20"/>
          <w:szCs w:val="20"/>
        </w:rPr>
        <w:t xml:space="preserve"> (2 pkt=10%)</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lastRenderedPageBreak/>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7A" w:rsidRDefault="00100D34">
    <w:pPr>
      <w:jc w:val="right"/>
    </w:pPr>
    <w:r>
      <w:fldChar w:fldCharType="begin"/>
    </w:r>
    <w:r>
      <w:instrText>PAGE</w:instrText>
    </w:r>
    <w:r>
      <w:fldChar w:fldCharType="separate"/>
    </w:r>
    <w:r w:rsidR="00015C4C">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w:t>
    </w:r>
    <w:r w:rsidR="00A372AB">
      <w:rPr>
        <w:sz w:val="20"/>
        <w:szCs w:val="20"/>
      </w:rPr>
      <w:t>7</w:t>
    </w:r>
    <w:r w:rsidR="00FF7B3A">
      <w:rPr>
        <w:sz w:val="20"/>
        <w:szCs w:val="20"/>
      </w:rPr>
      <w:t>.2023</w:t>
    </w:r>
  </w:p>
  <w:p w:rsidR="00A372AB" w:rsidRDefault="00A372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72CC7"/>
    <w:multiLevelType w:val="multilevel"/>
    <w:tmpl w:val="9A786F34"/>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0EF1AE6"/>
    <w:multiLevelType w:val="singleLevel"/>
    <w:tmpl w:val="0415000F"/>
    <w:lvl w:ilvl="0">
      <w:start w:val="1"/>
      <w:numFmt w:val="decimal"/>
      <w:lvlText w:val="%1."/>
      <w:lvlJc w:val="left"/>
      <w:pPr>
        <w:tabs>
          <w:tab w:val="num" w:pos="360"/>
        </w:tabs>
        <w:ind w:left="360" w:hanging="360"/>
      </w:pPr>
    </w:lvl>
  </w:abstractNum>
  <w:abstractNum w:abstractNumId="18">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F4102E6"/>
    <w:multiLevelType w:val="singleLevel"/>
    <w:tmpl w:val="0415000F"/>
    <w:lvl w:ilvl="0">
      <w:start w:val="1"/>
      <w:numFmt w:val="decimal"/>
      <w:lvlText w:val="%1."/>
      <w:lvlJc w:val="left"/>
      <w:pPr>
        <w:tabs>
          <w:tab w:val="num" w:pos="360"/>
        </w:tabs>
        <w:ind w:left="360" w:hanging="360"/>
      </w:pPr>
    </w:lvl>
  </w:abstractNum>
  <w:abstractNum w:abstractNumId="29">
    <w:nsid w:val="2F504865"/>
    <w:multiLevelType w:val="singleLevel"/>
    <w:tmpl w:val="0415000F"/>
    <w:lvl w:ilvl="0">
      <w:start w:val="1"/>
      <w:numFmt w:val="decimal"/>
      <w:lvlText w:val="%1."/>
      <w:lvlJc w:val="left"/>
      <w:pPr>
        <w:tabs>
          <w:tab w:val="num" w:pos="360"/>
        </w:tabs>
        <w:ind w:left="360" w:hanging="360"/>
      </w:pPr>
    </w:lvl>
  </w:abstractNum>
  <w:abstractNum w:abstractNumId="3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70AB2CFD"/>
    <w:multiLevelType w:val="singleLevel"/>
    <w:tmpl w:val="0415000F"/>
    <w:lvl w:ilvl="0">
      <w:start w:val="1"/>
      <w:numFmt w:val="decimal"/>
      <w:lvlText w:val="%1."/>
      <w:lvlJc w:val="left"/>
      <w:pPr>
        <w:tabs>
          <w:tab w:val="num" w:pos="360"/>
        </w:tabs>
        <w:ind w:left="360" w:hanging="360"/>
      </w:pPr>
    </w:lvl>
  </w:abstractNum>
  <w:abstractNum w:abstractNumId="66">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F"/>
    <w:rsid w:val="00000E90"/>
    <w:rsid w:val="00007E65"/>
    <w:rsid w:val="00015C4C"/>
    <w:rsid w:val="00025895"/>
    <w:rsid w:val="00026559"/>
    <w:rsid w:val="00037DD8"/>
    <w:rsid w:val="0006245B"/>
    <w:rsid w:val="00063B57"/>
    <w:rsid w:val="00066E5A"/>
    <w:rsid w:val="00080230"/>
    <w:rsid w:val="000863B5"/>
    <w:rsid w:val="000917BD"/>
    <w:rsid w:val="0009393C"/>
    <w:rsid w:val="00093F2F"/>
    <w:rsid w:val="000B587F"/>
    <w:rsid w:val="000C0A60"/>
    <w:rsid w:val="000E4736"/>
    <w:rsid w:val="000E4E59"/>
    <w:rsid w:val="000E5694"/>
    <w:rsid w:val="000F26D4"/>
    <w:rsid w:val="00100D34"/>
    <w:rsid w:val="00106636"/>
    <w:rsid w:val="00113B9C"/>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16417"/>
    <w:rsid w:val="00220BA8"/>
    <w:rsid w:val="0022405C"/>
    <w:rsid w:val="00233977"/>
    <w:rsid w:val="0023565C"/>
    <w:rsid w:val="002403D7"/>
    <w:rsid w:val="00242514"/>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49EA"/>
    <w:rsid w:val="00567903"/>
    <w:rsid w:val="00567B78"/>
    <w:rsid w:val="0058542C"/>
    <w:rsid w:val="0059091D"/>
    <w:rsid w:val="00591A93"/>
    <w:rsid w:val="005930BF"/>
    <w:rsid w:val="005964DC"/>
    <w:rsid w:val="005B30E9"/>
    <w:rsid w:val="005B356F"/>
    <w:rsid w:val="005C12C0"/>
    <w:rsid w:val="005C15F0"/>
    <w:rsid w:val="005C689B"/>
    <w:rsid w:val="005C7815"/>
    <w:rsid w:val="005D4FC9"/>
    <w:rsid w:val="005E3E49"/>
    <w:rsid w:val="005F3E0F"/>
    <w:rsid w:val="005F6EA7"/>
    <w:rsid w:val="006002FE"/>
    <w:rsid w:val="00605387"/>
    <w:rsid w:val="00606015"/>
    <w:rsid w:val="006103C1"/>
    <w:rsid w:val="00651901"/>
    <w:rsid w:val="006535E4"/>
    <w:rsid w:val="00661253"/>
    <w:rsid w:val="00663C23"/>
    <w:rsid w:val="00671178"/>
    <w:rsid w:val="00674354"/>
    <w:rsid w:val="006831E4"/>
    <w:rsid w:val="0069432F"/>
    <w:rsid w:val="00697740"/>
    <w:rsid w:val="006A0377"/>
    <w:rsid w:val="006A76B4"/>
    <w:rsid w:val="006D0A0A"/>
    <w:rsid w:val="006F2CAF"/>
    <w:rsid w:val="006F3915"/>
    <w:rsid w:val="006F6659"/>
    <w:rsid w:val="006F7641"/>
    <w:rsid w:val="00704665"/>
    <w:rsid w:val="007109F9"/>
    <w:rsid w:val="007117F1"/>
    <w:rsid w:val="00725ED8"/>
    <w:rsid w:val="0073430C"/>
    <w:rsid w:val="007353A8"/>
    <w:rsid w:val="007372AA"/>
    <w:rsid w:val="007447E4"/>
    <w:rsid w:val="00745F7B"/>
    <w:rsid w:val="007478D0"/>
    <w:rsid w:val="0075048F"/>
    <w:rsid w:val="0075480E"/>
    <w:rsid w:val="00761D15"/>
    <w:rsid w:val="0076584B"/>
    <w:rsid w:val="00767803"/>
    <w:rsid w:val="00770322"/>
    <w:rsid w:val="00770423"/>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007"/>
    <w:rsid w:val="00852768"/>
    <w:rsid w:val="00852787"/>
    <w:rsid w:val="00853F88"/>
    <w:rsid w:val="0085722D"/>
    <w:rsid w:val="00857755"/>
    <w:rsid w:val="00862A6D"/>
    <w:rsid w:val="00865318"/>
    <w:rsid w:val="00871AAE"/>
    <w:rsid w:val="00873568"/>
    <w:rsid w:val="00875B3D"/>
    <w:rsid w:val="00877B98"/>
    <w:rsid w:val="008836AC"/>
    <w:rsid w:val="008836B1"/>
    <w:rsid w:val="008917BA"/>
    <w:rsid w:val="00891CCA"/>
    <w:rsid w:val="008A0DA3"/>
    <w:rsid w:val="008A5948"/>
    <w:rsid w:val="008C6A18"/>
    <w:rsid w:val="008D780A"/>
    <w:rsid w:val="008E0ED6"/>
    <w:rsid w:val="008E3A74"/>
    <w:rsid w:val="008E4B15"/>
    <w:rsid w:val="00916C2C"/>
    <w:rsid w:val="00923C6F"/>
    <w:rsid w:val="0094522A"/>
    <w:rsid w:val="00945BDE"/>
    <w:rsid w:val="0094635E"/>
    <w:rsid w:val="00962F33"/>
    <w:rsid w:val="009631FB"/>
    <w:rsid w:val="0096728D"/>
    <w:rsid w:val="00975A0A"/>
    <w:rsid w:val="00977B45"/>
    <w:rsid w:val="00986291"/>
    <w:rsid w:val="009A3338"/>
    <w:rsid w:val="009A3D9D"/>
    <w:rsid w:val="009A59E9"/>
    <w:rsid w:val="009A6384"/>
    <w:rsid w:val="009A79D8"/>
    <w:rsid w:val="009A7D8D"/>
    <w:rsid w:val="009B7CCD"/>
    <w:rsid w:val="009C798A"/>
    <w:rsid w:val="009D43BF"/>
    <w:rsid w:val="009F0BF7"/>
    <w:rsid w:val="009F4F78"/>
    <w:rsid w:val="009F5611"/>
    <w:rsid w:val="00A13C2B"/>
    <w:rsid w:val="00A15414"/>
    <w:rsid w:val="00A25C32"/>
    <w:rsid w:val="00A309D6"/>
    <w:rsid w:val="00A30E16"/>
    <w:rsid w:val="00A316B1"/>
    <w:rsid w:val="00A35735"/>
    <w:rsid w:val="00A372AB"/>
    <w:rsid w:val="00A37BC8"/>
    <w:rsid w:val="00A40CBA"/>
    <w:rsid w:val="00A5661B"/>
    <w:rsid w:val="00A573B6"/>
    <w:rsid w:val="00A613A3"/>
    <w:rsid w:val="00A72A74"/>
    <w:rsid w:val="00A73B4D"/>
    <w:rsid w:val="00A77888"/>
    <w:rsid w:val="00AA024F"/>
    <w:rsid w:val="00AA0E8E"/>
    <w:rsid w:val="00AC05E5"/>
    <w:rsid w:val="00AC6CBE"/>
    <w:rsid w:val="00AD198A"/>
    <w:rsid w:val="00AF2B8E"/>
    <w:rsid w:val="00AF5345"/>
    <w:rsid w:val="00AF5FE2"/>
    <w:rsid w:val="00B146E7"/>
    <w:rsid w:val="00B2271A"/>
    <w:rsid w:val="00B34170"/>
    <w:rsid w:val="00B43CCF"/>
    <w:rsid w:val="00B53D78"/>
    <w:rsid w:val="00B57D5A"/>
    <w:rsid w:val="00B723E5"/>
    <w:rsid w:val="00B77275"/>
    <w:rsid w:val="00B774FC"/>
    <w:rsid w:val="00B9491E"/>
    <w:rsid w:val="00BB6BC2"/>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A7C98"/>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018A3"/>
    <w:rsid w:val="00E04F70"/>
    <w:rsid w:val="00E14FB8"/>
    <w:rsid w:val="00E15C4F"/>
    <w:rsid w:val="00E267D5"/>
    <w:rsid w:val="00E34EC4"/>
    <w:rsid w:val="00E37D86"/>
    <w:rsid w:val="00E42E82"/>
    <w:rsid w:val="00E740CC"/>
    <w:rsid w:val="00E7633D"/>
    <w:rsid w:val="00E849F1"/>
    <w:rsid w:val="00E874CC"/>
    <w:rsid w:val="00E944D2"/>
    <w:rsid w:val="00EA0153"/>
    <w:rsid w:val="00EA6E08"/>
    <w:rsid w:val="00EB50AB"/>
    <w:rsid w:val="00EC02CD"/>
    <w:rsid w:val="00EC3373"/>
    <w:rsid w:val="00EC5D86"/>
    <w:rsid w:val="00ED5C4C"/>
    <w:rsid w:val="00ED7919"/>
    <w:rsid w:val="00ED7E61"/>
    <w:rsid w:val="00EE6FB3"/>
    <w:rsid w:val="00EE6FB6"/>
    <w:rsid w:val="00EF052D"/>
    <w:rsid w:val="00EF077D"/>
    <w:rsid w:val="00F00356"/>
    <w:rsid w:val="00F27856"/>
    <w:rsid w:val="00F32C88"/>
    <w:rsid w:val="00F34DEE"/>
    <w:rsid w:val="00F47DBC"/>
    <w:rsid w:val="00F52267"/>
    <w:rsid w:val="00F54155"/>
    <w:rsid w:val="00F64283"/>
    <w:rsid w:val="00F72A1D"/>
    <w:rsid w:val="00F73A44"/>
    <w:rsid w:val="00F8704D"/>
    <w:rsid w:val="00F912F8"/>
    <w:rsid w:val="00FA4BA6"/>
    <w:rsid w:val="00FA54AC"/>
    <w:rsid w:val="00FB4CBE"/>
    <w:rsid w:val="00FB6F58"/>
    <w:rsid w:val="00FE2D9B"/>
    <w:rsid w:val="00FF40DE"/>
    <w:rsid w:val="00FF4649"/>
    <w:rsid w:val="00FF6C71"/>
    <w:rsid w:val="00FF74FE"/>
    <w:rsid w:val="00FF7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3357"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transakcja/808383%20"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23</Pages>
  <Words>8058</Words>
  <Characters>48351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Artur Piechoczek (KM Gliwice)</cp:lastModifiedBy>
  <cp:revision>12</cp:revision>
  <cp:lastPrinted>2022-04-27T11:50:00Z</cp:lastPrinted>
  <dcterms:created xsi:type="dcterms:W3CDTF">2023-08-21T13:24:00Z</dcterms:created>
  <dcterms:modified xsi:type="dcterms:W3CDTF">2023-08-22T12:16:00Z</dcterms:modified>
</cp:coreProperties>
</file>