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B8C4" w14:textId="4B1696CA" w:rsidR="009457C4" w:rsidRPr="00936444" w:rsidRDefault="009457C4" w:rsidP="00936444">
      <w:pPr>
        <w:spacing w:after="0" w:line="276" w:lineRule="auto"/>
        <w:rPr>
          <w:rFonts w:ascii="Calibri" w:hAnsi="Calibri" w:cs="Calibri"/>
          <w:bCs/>
        </w:rPr>
      </w:pPr>
      <w:r w:rsidRPr="00936444">
        <w:rPr>
          <w:rFonts w:ascii="Calibri" w:hAnsi="Calibri" w:cs="Calibri"/>
          <w:bCs/>
        </w:rPr>
        <w:t>Zakrzew</w:t>
      </w:r>
      <w:r w:rsidR="00687E3D">
        <w:rPr>
          <w:rFonts w:ascii="Calibri" w:hAnsi="Calibri" w:cs="Calibri"/>
          <w:bCs/>
        </w:rPr>
        <w:t xml:space="preserve"> </w:t>
      </w:r>
      <w:r w:rsidRPr="00936444">
        <w:rPr>
          <w:rFonts w:ascii="Calibri" w:hAnsi="Calibri" w:cs="Calibri"/>
          <w:bCs/>
        </w:rPr>
        <w:t xml:space="preserve"> </w:t>
      </w:r>
      <w:r w:rsidR="00687E3D">
        <w:rPr>
          <w:rFonts w:ascii="Calibri" w:hAnsi="Calibri" w:cs="Calibri"/>
          <w:bCs/>
        </w:rPr>
        <w:t>1</w:t>
      </w:r>
      <w:r w:rsidR="00AD1D92">
        <w:rPr>
          <w:rFonts w:ascii="Calibri" w:hAnsi="Calibri" w:cs="Calibri"/>
          <w:bCs/>
        </w:rPr>
        <w:t>4</w:t>
      </w:r>
      <w:r w:rsidRPr="00936444">
        <w:rPr>
          <w:rFonts w:ascii="Calibri" w:hAnsi="Calibri" w:cs="Calibri"/>
          <w:bCs/>
        </w:rPr>
        <w:t>.</w:t>
      </w:r>
      <w:r w:rsidR="00687E3D">
        <w:rPr>
          <w:rFonts w:ascii="Calibri" w:hAnsi="Calibri" w:cs="Calibri"/>
          <w:bCs/>
        </w:rPr>
        <w:t>08</w:t>
      </w:r>
      <w:r w:rsidRPr="00936444">
        <w:rPr>
          <w:rFonts w:ascii="Calibri" w:hAnsi="Calibri" w:cs="Calibri"/>
          <w:bCs/>
        </w:rPr>
        <w:t>.2024r.</w:t>
      </w:r>
    </w:p>
    <w:p w14:paraId="7220F491" w14:textId="77777777" w:rsidR="009457C4" w:rsidRPr="00936444" w:rsidRDefault="009457C4" w:rsidP="00936444">
      <w:pPr>
        <w:spacing w:after="0" w:line="276" w:lineRule="auto"/>
        <w:rPr>
          <w:rFonts w:ascii="Calibri" w:hAnsi="Calibri" w:cs="Calibri"/>
          <w:bCs/>
        </w:rPr>
      </w:pPr>
    </w:p>
    <w:p w14:paraId="755355CF" w14:textId="77777777" w:rsidR="009457C4" w:rsidRPr="00936444" w:rsidRDefault="009457C4" w:rsidP="00936444">
      <w:pPr>
        <w:spacing w:after="0" w:line="276" w:lineRule="auto"/>
        <w:rPr>
          <w:rFonts w:ascii="Calibri" w:hAnsi="Calibri" w:cs="Calibri"/>
          <w:bCs/>
        </w:rPr>
      </w:pPr>
      <w:r w:rsidRPr="00936444">
        <w:rPr>
          <w:rFonts w:ascii="Calibri" w:hAnsi="Calibri" w:cs="Calibri"/>
          <w:bCs/>
        </w:rPr>
        <w:t>Gmina Zakrzew</w:t>
      </w:r>
    </w:p>
    <w:p w14:paraId="190FDF36" w14:textId="77777777" w:rsidR="009457C4" w:rsidRPr="00936444" w:rsidRDefault="009457C4" w:rsidP="00936444">
      <w:pPr>
        <w:spacing w:after="0" w:line="276" w:lineRule="auto"/>
        <w:rPr>
          <w:rFonts w:ascii="Calibri" w:hAnsi="Calibri" w:cs="Calibri"/>
          <w:bCs/>
        </w:rPr>
      </w:pPr>
      <w:r w:rsidRPr="00936444">
        <w:rPr>
          <w:rFonts w:ascii="Calibri" w:hAnsi="Calibri" w:cs="Calibri"/>
          <w:bCs/>
        </w:rPr>
        <w:t>Zakrzew 51</w:t>
      </w:r>
    </w:p>
    <w:p w14:paraId="10F2DB95" w14:textId="77777777" w:rsidR="009457C4" w:rsidRPr="00936444" w:rsidRDefault="009457C4" w:rsidP="00936444">
      <w:pPr>
        <w:spacing w:after="0" w:line="276" w:lineRule="auto"/>
        <w:rPr>
          <w:rFonts w:ascii="Calibri" w:hAnsi="Calibri" w:cs="Calibri"/>
          <w:bCs/>
        </w:rPr>
      </w:pPr>
      <w:r w:rsidRPr="00936444">
        <w:rPr>
          <w:rFonts w:ascii="Calibri" w:hAnsi="Calibri" w:cs="Calibri"/>
          <w:bCs/>
        </w:rPr>
        <w:t>26-652 Zakrzew</w:t>
      </w:r>
    </w:p>
    <w:p w14:paraId="4FDEA91C" w14:textId="6EF6D1A5" w:rsidR="009457C4" w:rsidRPr="00936444" w:rsidRDefault="009457C4" w:rsidP="00936444">
      <w:pPr>
        <w:spacing w:after="0" w:line="276" w:lineRule="auto"/>
        <w:rPr>
          <w:rFonts w:ascii="Calibri" w:hAnsi="Calibri" w:cs="Calibri"/>
          <w:bCs/>
        </w:rPr>
      </w:pPr>
      <w:r w:rsidRPr="00936444">
        <w:rPr>
          <w:rFonts w:ascii="Calibri" w:hAnsi="Calibri" w:cs="Calibri"/>
          <w:bCs/>
        </w:rPr>
        <w:t>znak sprawy:  ZP.271.16.2024</w:t>
      </w:r>
    </w:p>
    <w:p w14:paraId="2C0A8A0A" w14:textId="77777777" w:rsidR="009457C4" w:rsidRPr="00936444" w:rsidRDefault="009457C4" w:rsidP="00936444">
      <w:pPr>
        <w:spacing w:after="0" w:line="276" w:lineRule="auto"/>
        <w:rPr>
          <w:rFonts w:ascii="Calibri" w:hAnsi="Calibri" w:cs="Calibri"/>
          <w:bCs/>
        </w:rPr>
      </w:pPr>
    </w:p>
    <w:p w14:paraId="2B5E6692" w14:textId="77777777" w:rsidR="009457C4" w:rsidRPr="00936444" w:rsidRDefault="009457C4" w:rsidP="00936444">
      <w:pPr>
        <w:spacing w:after="0" w:line="276" w:lineRule="auto"/>
        <w:rPr>
          <w:rFonts w:ascii="Calibri" w:hAnsi="Calibri" w:cs="Calibri"/>
          <w:bCs/>
        </w:rPr>
      </w:pPr>
    </w:p>
    <w:p w14:paraId="5F91A6B6" w14:textId="77777777" w:rsidR="009457C4" w:rsidRPr="00936444" w:rsidRDefault="009457C4" w:rsidP="00936444">
      <w:pPr>
        <w:spacing w:after="0" w:line="276" w:lineRule="auto"/>
        <w:rPr>
          <w:rFonts w:ascii="Calibri" w:hAnsi="Calibri" w:cs="Calibri"/>
          <w:bCs/>
        </w:rPr>
      </w:pPr>
      <w:r w:rsidRPr="00936444">
        <w:rPr>
          <w:rFonts w:ascii="Calibri" w:hAnsi="Calibri" w:cs="Calibri"/>
          <w:bCs/>
        </w:rPr>
        <w:t>Wykonawcy</w:t>
      </w:r>
    </w:p>
    <w:p w14:paraId="71B56C61" w14:textId="77777777" w:rsidR="009457C4" w:rsidRPr="00936444" w:rsidRDefault="009457C4" w:rsidP="00936444">
      <w:pPr>
        <w:spacing w:after="0" w:line="276" w:lineRule="auto"/>
        <w:rPr>
          <w:rFonts w:ascii="Calibri" w:eastAsia="Calibri" w:hAnsi="Calibri" w:cs="Calibri"/>
          <w:bCs/>
          <w:iCs/>
          <w:color w:val="000000"/>
        </w:rPr>
      </w:pPr>
    </w:p>
    <w:p w14:paraId="580BC464" w14:textId="659C7858" w:rsidR="009457C4" w:rsidRPr="00936444" w:rsidRDefault="009457C4" w:rsidP="00936444">
      <w:pPr>
        <w:spacing w:after="0" w:line="276" w:lineRule="auto"/>
        <w:rPr>
          <w:rFonts w:ascii="Calibri" w:eastAsia="Calibri" w:hAnsi="Calibri" w:cs="Calibri"/>
          <w:bCs/>
          <w:iCs/>
          <w:color w:val="000000"/>
        </w:rPr>
      </w:pPr>
      <w:r w:rsidRPr="00936444">
        <w:rPr>
          <w:rFonts w:ascii="Calibri" w:eastAsia="Calibri" w:hAnsi="Calibri" w:cs="Calibri"/>
          <w:bCs/>
          <w:iCs/>
          <w:color w:val="000000"/>
        </w:rPr>
        <w:t xml:space="preserve">Nazwa postępowania: </w:t>
      </w:r>
      <w:r w:rsidRPr="00936444">
        <w:rPr>
          <w:rFonts w:ascii="Calibri" w:hAnsi="Calibri" w:cs="Calibri"/>
          <w:bCs/>
        </w:rPr>
        <w:t>Modernizacja oświetlenia ulicznego na terenie gminy Zakrzew - etap III</w:t>
      </w:r>
    </w:p>
    <w:p w14:paraId="567A139B" w14:textId="77777777" w:rsidR="009457C4" w:rsidRPr="00936444" w:rsidRDefault="009457C4" w:rsidP="00936444">
      <w:pPr>
        <w:spacing w:after="0" w:line="276" w:lineRule="auto"/>
        <w:rPr>
          <w:rFonts w:ascii="Calibri" w:eastAsia="Calibri" w:hAnsi="Calibri" w:cs="Calibri"/>
          <w:bCs/>
          <w:iCs/>
          <w:color w:val="000000"/>
        </w:rPr>
      </w:pPr>
    </w:p>
    <w:p w14:paraId="244F1500" w14:textId="77777777" w:rsidR="009457C4" w:rsidRPr="00936444" w:rsidRDefault="009457C4" w:rsidP="00936444">
      <w:pPr>
        <w:spacing w:after="0" w:line="276" w:lineRule="auto"/>
        <w:rPr>
          <w:rFonts w:ascii="Calibri" w:eastAsia="Calibri" w:hAnsi="Calibri" w:cs="Calibri"/>
          <w:bCs/>
          <w:iCs/>
          <w:color w:val="000000"/>
        </w:rPr>
      </w:pPr>
    </w:p>
    <w:p w14:paraId="08E565DD" w14:textId="77777777" w:rsidR="009457C4" w:rsidRPr="00541C1E" w:rsidRDefault="009457C4" w:rsidP="00541C1E">
      <w:pPr>
        <w:pStyle w:val="Akapitzlist"/>
        <w:numPr>
          <w:ilvl w:val="0"/>
          <w:numId w:val="4"/>
        </w:numPr>
        <w:spacing w:after="0" w:line="276" w:lineRule="auto"/>
        <w:rPr>
          <w:rFonts w:ascii="Calibri" w:hAnsi="Calibri" w:cs="Calibri"/>
          <w:bCs/>
        </w:rPr>
      </w:pPr>
      <w:r w:rsidRPr="00541C1E">
        <w:rPr>
          <w:rFonts w:ascii="Calibri" w:hAnsi="Calibri" w:cs="Calibri"/>
          <w:bCs/>
          <w:color w:val="000000"/>
        </w:rPr>
        <w:t>D</w:t>
      </w:r>
      <w:r w:rsidRPr="00541C1E">
        <w:rPr>
          <w:rFonts w:ascii="Calibri" w:hAnsi="Calibri" w:cs="Calibri"/>
          <w:bCs/>
        </w:rPr>
        <w:t xml:space="preserve">ziałając na podstawie art. 135 ust. 2 ustawy z dnia 11 września 2019r. Prawo zamówień publicznych Zamawiający udostępnia  treść  zapytań wraz z wyjaśnieniami.    </w:t>
      </w:r>
    </w:p>
    <w:p w14:paraId="5964B8D5" w14:textId="77777777" w:rsidR="009457C4" w:rsidRPr="00936444" w:rsidRDefault="009457C4" w:rsidP="00936444">
      <w:pPr>
        <w:pStyle w:val="Standard"/>
        <w:rPr>
          <w:rFonts w:cs="Calibri"/>
          <w:bCs/>
          <w:color w:val="FF0000"/>
          <w:sz w:val="24"/>
          <w:szCs w:val="24"/>
        </w:rPr>
      </w:pPr>
    </w:p>
    <w:p w14:paraId="46061E32" w14:textId="4595EDFC"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Czy realizowany inwestycja ma przyjęte obliczenia co do opraw Led zgodne z klasami oświetlenia dróg M2 ,M3, M6 które zapewnią bezpieczeństwo na drogach, dołączenie odpowiednich obliczeń fotometrycznych do zamówienia.</w:t>
      </w:r>
    </w:p>
    <w:p w14:paraId="008A6168" w14:textId="5283018E" w:rsidR="00AB7585" w:rsidRPr="00936444" w:rsidRDefault="00AB7585" w:rsidP="00936444">
      <w:pPr>
        <w:pStyle w:val="Standard"/>
        <w:ind w:left="720"/>
        <w:rPr>
          <w:rFonts w:cs="Calibri"/>
          <w:bCs/>
          <w:color w:val="1C1C1C"/>
          <w:sz w:val="24"/>
          <w:szCs w:val="24"/>
        </w:rPr>
      </w:pPr>
      <w:r w:rsidRPr="00936444">
        <w:rPr>
          <w:rFonts w:cs="Calibri"/>
          <w:bCs/>
          <w:color w:val="1C1C1C"/>
          <w:sz w:val="24"/>
          <w:szCs w:val="24"/>
        </w:rPr>
        <w:t>Odpowiedź</w:t>
      </w:r>
      <w:r w:rsidR="00B26B21">
        <w:rPr>
          <w:rFonts w:cs="Calibri"/>
          <w:bCs/>
          <w:color w:val="1C1C1C"/>
          <w:sz w:val="24"/>
          <w:szCs w:val="24"/>
        </w:rPr>
        <w:t>:</w:t>
      </w:r>
    </w:p>
    <w:p w14:paraId="6A08519A" w14:textId="54ABB695" w:rsidR="00AB7585" w:rsidRPr="00936444" w:rsidRDefault="00C32829" w:rsidP="00936444">
      <w:pPr>
        <w:pStyle w:val="Standard"/>
        <w:ind w:left="720"/>
        <w:rPr>
          <w:rFonts w:cs="Calibri"/>
          <w:bCs/>
          <w:color w:val="1C1C1C"/>
          <w:sz w:val="24"/>
          <w:szCs w:val="24"/>
        </w:rPr>
      </w:pPr>
      <w:r w:rsidRPr="00936444">
        <w:rPr>
          <w:rFonts w:cs="Calibri"/>
          <w:bCs/>
          <w:color w:val="1C1C1C"/>
          <w:sz w:val="24"/>
          <w:szCs w:val="24"/>
        </w:rPr>
        <w:t>Realizowany inwestycja nie ma przyjętych obliczeń.</w:t>
      </w:r>
    </w:p>
    <w:p w14:paraId="52E04FE4"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Proszę o dodanie do SIWZ więcej obowiązujących informacji i Norm na zamawiane i produkty w opisach, w które ma zastosowane średnica minimalna  mocowanie oraz uchwyt mocujący lampę, a nie zostały podane , i  czy wymiany słupów i wysokości słupów po zmianach w projekcie zostały zaznaczone.</w:t>
      </w:r>
    </w:p>
    <w:p w14:paraId="39757F2A" w14:textId="77B40A5F" w:rsidR="00C32829" w:rsidRPr="009D6F36" w:rsidRDefault="00C32829" w:rsidP="00936444">
      <w:pPr>
        <w:pStyle w:val="Standard"/>
        <w:ind w:left="720"/>
        <w:rPr>
          <w:rFonts w:cs="Calibri"/>
          <w:bCs/>
          <w:color w:val="1C1C1C"/>
          <w:sz w:val="24"/>
          <w:szCs w:val="24"/>
        </w:rPr>
      </w:pPr>
      <w:r w:rsidRPr="009D6F36">
        <w:rPr>
          <w:rFonts w:cs="Calibri"/>
          <w:bCs/>
          <w:color w:val="1C1C1C"/>
          <w:sz w:val="24"/>
          <w:szCs w:val="24"/>
        </w:rPr>
        <w:t>Odpowiedź</w:t>
      </w:r>
      <w:r w:rsidR="004E4C26">
        <w:rPr>
          <w:rFonts w:cs="Calibri"/>
          <w:bCs/>
          <w:color w:val="1C1C1C"/>
          <w:sz w:val="24"/>
          <w:szCs w:val="24"/>
        </w:rPr>
        <w:t>:</w:t>
      </w:r>
    </w:p>
    <w:p w14:paraId="09D66A90" w14:textId="66EF7EE4" w:rsidR="00C32829" w:rsidRPr="00936444" w:rsidRDefault="00C32829" w:rsidP="00936444">
      <w:pPr>
        <w:pStyle w:val="Standard"/>
        <w:ind w:left="720"/>
        <w:rPr>
          <w:rFonts w:cs="Calibri"/>
          <w:bCs/>
          <w:color w:val="1C1C1C"/>
          <w:sz w:val="24"/>
          <w:szCs w:val="24"/>
        </w:rPr>
      </w:pPr>
      <w:r w:rsidRPr="009D6F36">
        <w:rPr>
          <w:rFonts w:cs="Calibri"/>
          <w:bCs/>
          <w:color w:val="1C1C1C"/>
          <w:sz w:val="24"/>
          <w:szCs w:val="24"/>
        </w:rPr>
        <w:t xml:space="preserve">W </w:t>
      </w:r>
      <w:r w:rsidR="00BF47FF" w:rsidRPr="009D6F36">
        <w:rPr>
          <w:rFonts w:cs="Calibri"/>
          <w:bCs/>
          <w:color w:val="1C1C1C"/>
          <w:sz w:val="24"/>
          <w:szCs w:val="24"/>
        </w:rPr>
        <w:t>Opisie Przedmiotu Zamówienia Zamawiający podał wyczerpujące informacje na temat zamawianych produktów oraz norm. Zamawiający podał również wyczerpujące informacje dotyczące montażu oraz minimalnych średnic. Zamawiający nie przewiduje wymiany słupów</w:t>
      </w:r>
      <w:r w:rsidR="00BF47FF" w:rsidRPr="00936444">
        <w:rPr>
          <w:rFonts w:cs="Calibri"/>
          <w:bCs/>
          <w:color w:val="1C1C1C"/>
          <w:sz w:val="24"/>
          <w:szCs w:val="24"/>
        </w:rPr>
        <w:t>.</w:t>
      </w:r>
    </w:p>
    <w:p w14:paraId="4F5AEC29" w14:textId="55E754C1"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 xml:space="preserve">Obowiązujące normy oświetlenia drogowego powinny zapewniać bezpieczeństwo osobom poruszającym się po nich, oraz swobodę poruszania się wszystkim uczestników ruchu. nowych norm: PN-EN 13201-2 :2016-03 .                                                                                                                                         Czy powinny być zachowane prawo własności intelektualnej i przemysłowej co do Diody Led i innych nowych technologii i zastosowań świetlnych zastosowane w lampach Led, niniejszej zwalczaniu nieuczciwej konkurencji . Czy do analizy powinny służyły następujące akty prawne i dyrektywy EU i rozporządzenia oraz  zgodnie z  </w:t>
      </w:r>
      <w:r w:rsidRPr="00936444">
        <w:rPr>
          <w:rFonts w:cs="Calibri"/>
          <w:bCs/>
          <w:color w:val="1C1C1C"/>
          <w:sz w:val="24"/>
          <w:szCs w:val="24"/>
        </w:rPr>
        <w:lastRenderedPageBreak/>
        <w:t>Ustawą 20 maj 2016 poz 831 Energetyczną o przeprowadzeniu audytu energetycznego  zgodnie z , wynikający z art.4 ust.3   TUE oraz art.7 Konstytucji RP, obowiązek respektowania zasad prawa unijnego przy wykonywaniu kompetencji przewidzianych dla niego w ustawy Prawa własności intelektualnych, z zakresu własności przemysłowej.</w:t>
      </w:r>
    </w:p>
    <w:p w14:paraId="7B894FBD" w14:textId="50FED4F9" w:rsidR="00C32829" w:rsidRPr="00936444" w:rsidRDefault="00C32829" w:rsidP="00936444">
      <w:pPr>
        <w:pStyle w:val="Standard"/>
        <w:ind w:left="720"/>
        <w:rPr>
          <w:rFonts w:cs="Calibri"/>
          <w:bCs/>
          <w:color w:val="1C1C1C"/>
          <w:sz w:val="24"/>
          <w:szCs w:val="24"/>
        </w:rPr>
      </w:pPr>
      <w:r w:rsidRPr="00936444">
        <w:rPr>
          <w:rFonts w:cs="Calibri"/>
          <w:bCs/>
          <w:color w:val="1C1C1C"/>
          <w:sz w:val="24"/>
          <w:szCs w:val="24"/>
        </w:rPr>
        <w:t>Odpowiedź</w:t>
      </w:r>
      <w:r w:rsidR="004E4C26">
        <w:rPr>
          <w:rFonts w:cs="Calibri"/>
          <w:bCs/>
          <w:color w:val="1C1C1C"/>
          <w:sz w:val="24"/>
          <w:szCs w:val="24"/>
        </w:rPr>
        <w:t>:</w:t>
      </w:r>
    </w:p>
    <w:p w14:paraId="2F85A921" w14:textId="1BE98E52" w:rsidR="00C32829" w:rsidRPr="00936444" w:rsidRDefault="005D393B" w:rsidP="00936444">
      <w:pPr>
        <w:pStyle w:val="Standard"/>
        <w:ind w:left="720"/>
        <w:rPr>
          <w:rFonts w:cs="Calibri"/>
          <w:bCs/>
          <w:color w:val="1C1C1C"/>
          <w:sz w:val="24"/>
          <w:szCs w:val="24"/>
        </w:rPr>
      </w:pPr>
      <w:r w:rsidRPr="00936444">
        <w:rPr>
          <w:rFonts w:cs="Calibri"/>
          <w:bCs/>
          <w:color w:val="1C1C1C"/>
          <w:sz w:val="24"/>
          <w:szCs w:val="24"/>
        </w:rPr>
        <w:t>Pytanie w odniesieniu do przedmiotu zamówienia oraz w ramach sposobu jego sformułowania jest niezrozumiałe i nie odnosi się do szczegółowych zapisów SWZ.</w:t>
      </w:r>
    </w:p>
    <w:p w14:paraId="7D52BB7F"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Producent opraw oświetleniowych deklaruje zgodności z następującymi normami z zakresu bezpieczeństwa użytkowania: Obecnie, na terenie UE obowiązują normy bezpieczeństwa IEC oraz wymogi bezpieczeństwa PNEN 60061, PN-EN 60598, PN-EN 61347, EN 62031, PN-EN 62471, PN-EN 62560 i PN- EN 62663-1.  Przepisy te są ujęte w licznych Rozporządzeniach i Dyrektywach UE, m.in. w sprawie urządzeń obrotu towarami  wrażliwych i bezpieczeństaw technicznego i niskonapięciowych i kompatybilności elektromagnetycznej oraz w przepisach (ekoprojekt).                                                                                                                                                  Gdzie warunkiem zapewniającym zgodność jest posiadanie znaku CE przez produkty LED odnoszą się do Europejskiej Bazy Danych Produktów dotyczących Etykietowania Energii.</w:t>
      </w:r>
    </w:p>
    <w:p w14:paraId="2FC58E22" w14:textId="58E80C90"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Odpowiedź</w:t>
      </w:r>
      <w:r w:rsidR="004E4C26">
        <w:rPr>
          <w:rFonts w:cs="Calibri"/>
          <w:bCs/>
          <w:color w:val="1C1C1C"/>
          <w:sz w:val="24"/>
          <w:szCs w:val="24"/>
        </w:rPr>
        <w:t>:</w:t>
      </w:r>
    </w:p>
    <w:p w14:paraId="666DB0D2" w14:textId="5355488D"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Wykonawca nie zadał pytania</w:t>
      </w:r>
      <w:r w:rsidR="00423350" w:rsidRPr="00936444">
        <w:rPr>
          <w:rFonts w:cs="Calibri"/>
          <w:bCs/>
          <w:color w:val="1C1C1C"/>
          <w:sz w:val="24"/>
          <w:szCs w:val="24"/>
        </w:rPr>
        <w:t>.</w:t>
      </w:r>
    </w:p>
    <w:p w14:paraId="0AE29B16"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Czy jest okreslone</w:t>
      </w:r>
      <w:r w:rsidRPr="00936444">
        <w:rPr>
          <w:rFonts w:cs="Calibri"/>
          <w:bCs/>
          <w:sz w:val="24"/>
          <w:szCs w:val="24"/>
        </w:rPr>
        <w:t xml:space="preserve"> życia produktu finansowego i warunki dotyczące jego likwidacji określa się w umowie w sprawie gwarancji. W stosownych przypadkach w ramach produktu finansowego na poziomie operacji z zakresu finansowania lub inwestycji można przewidzieć możliwość wyjścia z inwestycji lub zbycia ekspozycji przed końcem okresu życia inwestycji bazowych</w:t>
      </w:r>
    </w:p>
    <w:p w14:paraId="4D0F54E2" w14:textId="5936C967"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Odpowiedź</w:t>
      </w:r>
      <w:r w:rsidR="004E4C26">
        <w:rPr>
          <w:rFonts w:cs="Calibri"/>
          <w:bCs/>
          <w:color w:val="1C1C1C"/>
          <w:sz w:val="24"/>
          <w:szCs w:val="24"/>
        </w:rPr>
        <w:t>:</w:t>
      </w:r>
    </w:p>
    <w:p w14:paraId="60384CF3" w14:textId="09CD24B7"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Pytanie w odniesieniu do przedmiotu zamówienia oraz w ramach sposobu jego sformułowania jest niezrozumiałe i nie odnosi się do szczegółowych zapisów SWZ.</w:t>
      </w:r>
    </w:p>
    <w:p w14:paraId="7BE53ABC"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 xml:space="preserve">Brak jest opisów ogólnych lampy i ich wielkości uchwytu i mocowania , jest niedopuszczalne podawanie nazw opraw , powinna być podana charakterystyka i normy minimum powyżej 110 lumenów 1W netto, według zamienników światła sodowego na Led, które mogą ukierunkować wykonawcę i inwestora jakie produkty przedstawić do rzetelnej przygotowanej wyceny dostosowując się do polityki klimatycznej z zachowaniem strategii niskoemisyjnej rozwoju. Oraz wskazanie jego badań i finansowania zgodnie z Rozporządzenie Parlamentu Europejskiego i Rady (UE, </w:t>
      </w:r>
      <w:r w:rsidRPr="00936444">
        <w:rPr>
          <w:rFonts w:cs="Calibri"/>
          <w:bCs/>
          <w:color w:val="1C1C1C"/>
          <w:sz w:val="24"/>
          <w:szCs w:val="24"/>
        </w:rPr>
        <w:lastRenderedPageBreak/>
        <w:t>Euratom) 2018/1046 z dnia 18 lipca 2018 r. w sprawie zasad finansowych mających zastosowanie do budżetu ogólnego Unii,</w:t>
      </w:r>
    </w:p>
    <w:p w14:paraId="55399014" w14:textId="277369F6"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Odpowiedź</w:t>
      </w:r>
      <w:r w:rsidR="009D6F36">
        <w:rPr>
          <w:rFonts w:cs="Calibri"/>
          <w:bCs/>
          <w:color w:val="1C1C1C"/>
          <w:sz w:val="24"/>
          <w:szCs w:val="24"/>
        </w:rPr>
        <w:t>:</w:t>
      </w:r>
    </w:p>
    <w:p w14:paraId="1DDF8416" w14:textId="2AC37530" w:rsidR="005D393B" w:rsidRPr="00936444" w:rsidRDefault="005D393B" w:rsidP="00936444">
      <w:pPr>
        <w:pStyle w:val="Standard"/>
        <w:ind w:left="720"/>
        <w:rPr>
          <w:rFonts w:cs="Calibri"/>
          <w:bCs/>
          <w:color w:val="1C1C1C"/>
          <w:sz w:val="24"/>
          <w:szCs w:val="24"/>
        </w:rPr>
      </w:pPr>
      <w:r w:rsidRPr="009D6F36">
        <w:rPr>
          <w:rFonts w:cs="Calibri"/>
          <w:bCs/>
          <w:color w:val="1C1C1C"/>
          <w:sz w:val="24"/>
          <w:szCs w:val="24"/>
        </w:rPr>
        <w:t>SWZ zawiera Opis Przedmiotu Zamówienia w którym ujęte są opisy urządzeń</w:t>
      </w:r>
      <w:r w:rsidR="00423350" w:rsidRPr="009D6F36">
        <w:rPr>
          <w:rFonts w:cs="Calibri"/>
          <w:bCs/>
          <w:color w:val="1C1C1C"/>
          <w:sz w:val="24"/>
          <w:szCs w:val="24"/>
        </w:rPr>
        <w:t>.</w:t>
      </w:r>
    </w:p>
    <w:p w14:paraId="24290FC3"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Jaki jest  cel</w:t>
      </w:r>
      <w:r w:rsidRPr="00936444">
        <w:rPr>
          <w:rFonts w:cs="Calibri"/>
          <w:bCs/>
          <w:sz w:val="24"/>
          <w:szCs w:val="24"/>
        </w:rPr>
        <w:t xml:space="preserve"> segmentu zrównoważonej infrastruktury jest wspieranie operacji z zakresu finansowania i inwestycji w zrównoważoną infrastrukturę w dziedzinach, o których mowa w art. 8 ust. 1 lit. a) rozporządzenia w sprawie InvestEU. Nie naruszając przepisów dotyczących działań wyłączonych (sekcja 2.3.3 niniejszych wytycznych inwestycyjnych) oraz zasad przydziału w ramach Funduszu InvestEU określonych w sekcji 2.6, każdy właściwy obszar związany ze zrównoważoną infrastrukturą wymieniony w załączniku II do rozporządzenia w sprawie InvestEU kwalifikuje się do wsparcia w ramach segmentu polityki dotyczącego zrównoważonej infrastruktury</w:t>
      </w:r>
    </w:p>
    <w:p w14:paraId="407BB6B7" w14:textId="11B4CCB3"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Odpowiedź</w:t>
      </w:r>
      <w:r w:rsidR="009D6F36">
        <w:rPr>
          <w:rFonts w:cs="Calibri"/>
          <w:bCs/>
          <w:color w:val="1C1C1C"/>
          <w:sz w:val="24"/>
          <w:szCs w:val="24"/>
        </w:rPr>
        <w:t>:</w:t>
      </w:r>
    </w:p>
    <w:p w14:paraId="651D6DD5" w14:textId="06C88476" w:rsidR="005D393B" w:rsidRPr="00936444" w:rsidRDefault="005D393B" w:rsidP="00936444">
      <w:pPr>
        <w:pStyle w:val="Standard"/>
        <w:ind w:left="720"/>
        <w:rPr>
          <w:rFonts w:cs="Calibri"/>
          <w:bCs/>
          <w:color w:val="1C1C1C"/>
          <w:sz w:val="24"/>
          <w:szCs w:val="24"/>
        </w:rPr>
      </w:pPr>
      <w:r w:rsidRPr="00936444">
        <w:rPr>
          <w:rFonts w:cs="Calibri"/>
          <w:bCs/>
          <w:color w:val="1C1C1C"/>
          <w:sz w:val="24"/>
          <w:szCs w:val="24"/>
        </w:rPr>
        <w:t>Pytanie w odniesieniu do przedmiotu zamówienia oraz w ramach sposobu jego sformułowania jest niezrozumiałe i nie odnosi się do szczegółowych zapisów SWZ.</w:t>
      </w:r>
    </w:p>
    <w:p w14:paraId="05B78B73" w14:textId="77777777" w:rsidR="005D393B" w:rsidRPr="00936444" w:rsidRDefault="00AB7585" w:rsidP="00936444">
      <w:pPr>
        <w:pStyle w:val="Standard"/>
        <w:numPr>
          <w:ilvl w:val="0"/>
          <w:numId w:val="1"/>
        </w:numPr>
        <w:rPr>
          <w:rFonts w:cs="Calibri"/>
          <w:bCs/>
          <w:color w:val="1C1C1C"/>
          <w:sz w:val="24"/>
          <w:szCs w:val="24"/>
        </w:rPr>
      </w:pPr>
      <w:r w:rsidRPr="00936444">
        <w:rPr>
          <w:rFonts w:cs="Calibri"/>
          <w:bCs/>
          <w:color w:val="1C1C1C"/>
          <w:sz w:val="24"/>
          <w:szCs w:val="24"/>
        </w:rPr>
        <w:t>Czy wszystkie oprawy LED  powinny spełniać niezbędne wytyczne zarówno co do sprzętu jak i jego znakowania. Niniejsza informacja zawiera wytyczne dotyczące zasad klasyfikacji sprzętu elektrycznego i ustawą.</w:t>
      </w:r>
      <w:r w:rsidRPr="00936444">
        <w:rPr>
          <w:rFonts w:cs="Calibri"/>
          <w:bCs/>
          <w:sz w:val="24"/>
          <w:szCs w:val="24"/>
        </w:rPr>
        <w:t xml:space="preserve"> Zgodnie z ustawą z dnia 20 maja 2016 o efektywności  energetycznej . Wsparcie w ramach efektywności energetycznej i oszczędności energii będzie obejmować projekty zgodne z zobowiązaniami Unii podjętymi w ramach Agendy 2030 i porozumienia paryskiego oraz przyczyniać się do realizacji celów określonych w dyrektywie 2012/27/UE ( 63) (ograniczenie zapotrzebowania na energię za pomocą środków służących oszczędzaniu energii oraz zarządzania popytem, stosowanie zasad gospodarki o obiegu zamkniętym, wspieranie systemu ciepłowniczego i produkcji energii w projektach kogeneracji, które ograniczają zużycie energii oraz zapobiegają emisji gazów cieplarnianych i innych zanieczyszczeń). Wsparcie będzie obejmować projekty zgodne z inicjatywą „Fala renowacji” ( 64), w szczególności z trzema obszarami, na których inicjatywa ta się koncentruje: rozwiązanie problemu ubóstwa energetycznego i budynków o najgorszej charakterystyce energetycznej; renowacja budynków publicznych, takich jak placówki administracyjne, edukacyjne i opieki zdrowotnej, oraz obniżenie emisyjności ogrzewania i chłodzenia. Należy wspierać projekty modernizujące systemy ogrzewania i chłodzenia budynków, ponieważ mają one zasadnicze znaczenie dla dekarbonizacji zasobów budowlanych w UE. Wykorzystanie lokalnego potencjału energii odnawialnej ma również kluczowe znaczenie dla zmniejszenia zależności UE od importowanych paliw kopalnych. Wsparcie to będzie obejmować także renowację istniejących budynków pod kątem efektywności energetyczn</w:t>
      </w:r>
      <w:r w:rsidR="005D393B" w:rsidRPr="00936444">
        <w:rPr>
          <w:rFonts w:cs="Calibri"/>
          <w:bCs/>
          <w:sz w:val="24"/>
          <w:szCs w:val="24"/>
        </w:rPr>
        <w:t>e</w:t>
      </w:r>
      <w:r w:rsidRPr="00936444">
        <w:rPr>
          <w:rFonts w:cs="Calibri"/>
          <w:bCs/>
          <w:sz w:val="24"/>
          <w:szCs w:val="24"/>
        </w:rPr>
        <w:t xml:space="preserve">                                                                                                                                              </w:t>
      </w:r>
      <w:r w:rsidR="005D393B" w:rsidRPr="00936444">
        <w:rPr>
          <w:rFonts w:cs="Calibri"/>
          <w:bCs/>
          <w:sz w:val="24"/>
          <w:szCs w:val="24"/>
        </w:rPr>
        <w:t>p</w:t>
      </w:r>
      <w:r w:rsidRPr="00936444">
        <w:rPr>
          <w:rFonts w:cs="Calibri"/>
          <w:bCs/>
          <w:sz w:val="24"/>
          <w:szCs w:val="24"/>
        </w:rPr>
        <w:t xml:space="preserve">rzykładowo :Temperatura barwowa emitowanego światła 4000k (+/-100K) o </w:t>
      </w:r>
      <w:r w:rsidRPr="00936444">
        <w:rPr>
          <w:rFonts w:cs="Calibri"/>
          <w:bCs/>
          <w:sz w:val="24"/>
          <w:szCs w:val="24"/>
        </w:rPr>
        <w:lastRenderedPageBreak/>
        <w:t xml:space="preserve">Współczynnik oddawania barw RA większy lub równy 70 o Panel LED . Wyposażony w grupę soczewek kształtujących rozsyłu  światła o charakterze drogowym, która nie oślepia kierowcy i nie powoduje odbicia światła od jezdni .                                                                                                                                                                                                         Każda dioda na panelu LED posiada indywidualny element optyczny o takiej samej charakterystyce.  W  przepisach przewidziany  jest układ redukcji mocy , który powinien być stosowany  według przepisów w  lampach oświetleniowych,  ma umożliwiać płynne nastawienie kilku   progów natężenia oświetlenia świetlnego w zakresie co najmniej od 100 -30 % strumienia nominalnego                                                                                                                                                                  * Jaka powinna być Temperatura pracy w zakresie -40 + 50 stopni   </w:t>
      </w:r>
    </w:p>
    <w:p w14:paraId="6D6D68EF" w14:textId="369F6DA1" w:rsidR="005D393B" w:rsidRPr="00936444" w:rsidRDefault="005D393B" w:rsidP="00936444">
      <w:pPr>
        <w:pStyle w:val="Standard"/>
        <w:ind w:left="720"/>
        <w:rPr>
          <w:rFonts w:cs="Calibri"/>
          <w:bCs/>
          <w:sz w:val="24"/>
          <w:szCs w:val="24"/>
        </w:rPr>
      </w:pPr>
      <w:r w:rsidRPr="00936444">
        <w:rPr>
          <w:rFonts w:cs="Calibri"/>
          <w:bCs/>
          <w:sz w:val="24"/>
          <w:szCs w:val="24"/>
        </w:rPr>
        <w:t>Odpowiedź</w:t>
      </w:r>
      <w:r w:rsidR="009D6F36">
        <w:rPr>
          <w:rFonts w:cs="Calibri"/>
          <w:bCs/>
          <w:sz w:val="24"/>
          <w:szCs w:val="24"/>
        </w:rPr>
        <w:t>:</w:t>
      </w:r>
    </w:p>
    <w:p w14:paraId="43DB79A4" w14:textId="00AAE1A7" w:rsidR="00AB7585" w:rsidRPr="00936444" w:rsidRDefault="005D393B" w:rsidP="00936444">
      <w:pPr>
        <w:pStyle w:val="Standard"/>
        <w:ind w:left="720"/>
        <w:rPr>
          <w:rFonts w:cs="Calibri"/>
          <w:bCs/>
          <w:color w:val="1C1C1C"/>
          <w:sz w:val="24"/>
          <w:szCs w:val="24"/>
        </w:rPr>
      </w:pPr>
      <w:r w:rsidRPr="00936444">
        <w:rPr>
          <w:rFonts w:cs="Calibri"/>
          <w:bCs/>
          <w:color w:val="1C1C1C"/>
          <w:sz w:val="24"/>
          <w:szCs w:val="24"/>
        </w:rPr>
        <w:t xml:space="preserve">Oprawy LED  powinny spełniać </w:t>
      </w:r>
      <w:r w:rsidR="009D6F36">
        <w:rPr>
          <w:rFonts w:cs="Calibri"/>
          <w:bCs/>
          <w:color w:val="1C1C1C"/>
          <w:sz w:val="24"/>
          <w:szCs w:val="24"/>
        </w:rPr>
        <w:t xml:space="preserve">wymagania opisane przez Zamawiającego w opisie przedmiotu zamówienia.  </w:t>
      </w:r>
      <w:r w:rsidR="00AB7585" w:rsidRPr="00936444">
        <w:rPr>
          <w:rFonts w:cs="Calibri"/>
          <w:bCs/>
          <w:sz w:val="24"/>
          <w:szCs w:val="24"/>
        </w:rPr>
        <w:t xml:space="preserve">                                                                                                                                                                                                                                                                                                        </w:t>
      </w:r>
    </w:p>
    <w:p w14:paraId="479DBAB4" w14:textId="77777777" w:rsidR="00AB7585" w:rsidRPr="00936444" w:rsidRDefault="00AB7585" w:rsidP="00936444">
      <w:pPr>
        <w:pStyle w:val="Standard"/>
        <w:numPr>
          <w:ilvl w:val="0"/>
          <w:numId w:val="1"/>
        </w:numPr>
        <w:rPr>
          <w:rFonts w:cs="Calibri"/>
          <w:bCs/>
          <w:color w:val="1C1C1C"/>
          <w:sz w:val="24"/>
          <w:szCs w:val="24"/>
        </w:rPr>
      </w:pPr>
      <w:r w:rsidRPr="00936444">
        <w:rPr>
          <w:rFonts w:cs="Calibri"/>
          <w:bCs/>
          <w:sz w:val="24"/>
          <w:szCs w:val="24"/>
        </w:rPr>
        <w:t>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 suprastruktur, rozwiązań i sprzętu służących mobilności, a także innowacyjnych technologii, zgodnie z priorytetami Unii w zakresie transportu, strategią na rzecz zrównoważonej i inteligentnej mobilności ( 69) oraz z zobowiązaniami podjętymi na mocy porozumienia paryskiego. Wsparcie to będzie obejmować projekty wspierające rozwój infrastruktury transeuropejskiej sieci transportowej („TEN-T”), remonty i modernizację istniejącej infrastruktury i komponentów poziomu połączeń międzysystemowych we wszystkich rodzajach transportu</w:t>
      </w:r>
    </w:p>
    <w:p w14:paraId="23D5E879" w14:textId="1D3D888B" w:rsidR="00910883" w:rsidRPr="00936444" w:rsidRDefault="00910883" w:rsidP="00936444">
      <w:pPr>
        <w:pStyle w:val="Standard"/>
        <w:ind w:left="720"/>
        <w:rPr>
          <w:rFonts w:cs="Calibri"/>
          <w:bCs/>
          <w:color w:val="1C1C1C"/>
          <w:sz w:val="24"/>
          <w:szCs w:val="24"/>
        </w:rPr>
      </w:pPr>
      <w:r w:rsidRPr="00936444">
        <w:rPr>
          <w:rFonts w:cs="Calibri"/>
          <w:bCs/>
          <w:color w:val="1C1C1C"/>
          <w:sz w:val="24"/>
          <w:szCs w:val="24"/>
        </w:rPr>
        <w:t>Odpowiedź</w:t>
      </w:r>
      <w:r w:rsidR="009D6F36">
        <w:rPr>
          <w:rFonts w:cs="Calibri"/>
          <w:bCs/>
          <w:color w:val="1C1C1C"/>
          <w:sz w:val="24"/>
          <w:szCs w:val="24"/>
        </w:rPr>
        <w:t>:</w:t>
      </w:r>
    </w:p>
    <w:p w14:paraId="51F4A9D9" w14:textId="60443422" w:rsidR="005D393B" w:rsidRPr="00936444" w:rsidRDefault="00910883" w:rsidP="00936444">
      <w:pPr>
        <w:pStyle w:val="Standard"/>
        <w:ind w:left="720"/>
        <w:rPr>
          <w:rFonts w:cs="Calibri"/>
          <w:bCs/>
          <w:color w:val="1C1C1C"/>
          <w:sz w:val="24"/>
          <w:szCs w:val="24"/>
        </w:rPr>
      </w:pPr>
      <w:r w:rsidRPr="00936444">
        <w:rPr>
          <w:rFonts w:cs="Calibri"/>
          <w:bCs/>
          <w:color w:val="1C1C1C"/>
          <w:sz w:val="24"/>
          <w:szCs w:val="24"/>
        </w:rPr>
        <w:t>Pytanie w odniesieniu do przedmiotu zamówienia oraz w ramach sposobu jego sformułowania jest niezrozumiałe i nie odnosi się do szczegółowych zapisów SWZ</w:t>
      </w:r>
    </w:p>
    <w:p w14:paraId="49BBB094" w14:textId="4810CD38" w:rsidR="00AB7585" w:rsidRPr="00936444" w:rsidRDefault="00AB7585" w:rsidP="00936444">
      <w:pPr>
        <w:pStyle w:val="Standard"/>
        <w:numPr>
          <w:ilvl w:val="0"/>
          <w:numId w:val="1"/>
        </w:numPr>
        <w:rPr>
          <w:rFonts w:cs="Calibri"/>
          <w:bCs/>
          <w:color w:val="1C1C1C"/>
          <w:sz w:val="24"/>
          <w:szCs w:val="24"/>
        </w:rPr>
      </w:pPr>
      <w:r w:rsidRPr="00936444">
        <w:rPr>
          <w:rFonts w:cs="Calibri"/>
          <w:bCs/>
          <w:sz w:val="24"/>
          <w:szCs w:val="24"/>
        </w:rPr>
        <w:t xml:space="preserve">Czy wspieranie rozwoju zrównoważonej i bezpiecznej infrastruktury łączności cyfrowej musi koncentrować się na projektach wspierających szeroki zakres produktów i usług w dziedzinie komunikacji i technologii informacyjnej. Takie wsparcie może obejmować na przykład projekty wspierające uniwersalne (tj. obejmujące obszary wiejskie/peryferyjne) uruchamianie infrastruktury, wdrażanie cyfrowych sieci o bardzo dużej przepustowości, w tym poprzez wdrażanie przewodowych i bezprzewodowych systemów łączności, m.in. systemów światłowodowych i systemów łączności 5G, oraz inwestycje niezbędne w celu osiągnięcia unijnych strategicznych celów łączności cyfrowej zdefiniowanych w komunikacie „Łączność dla konkurencyjnego jednolitego rynku cyfrowego . arcie to będzie ukierunkowane także na projekty mające na celu zwiększenie zdolności i </w:t>
      </w:r>
      <w:r w:rsidRPr="00936444">
        <w:rPr>
          <w:rFonts w:cs="Calibri"/>
          <w:bCs/>
          <w:sz w:val="24"/>
          <w:szCs w:val="24"/>
        </w:rPr>
        <w:lastRenderedPageBreak/>
        <w:t>odporności unijnych sieci (np. zabezpieczonych kwantowo sieci komunikacyjnych, międzyregionalnej i międzynarodowej łączności, m.in. za pomocą kabli lądowych i podmorskich, systemów satelitarnych, ośrodków przetwarzania danych oraz sieci ochrony publicznej i pomocy w przypadku klęsk żywiołowych) oraz wspieranie transformacji cyfrowej najważniejszych usług publicznych.</w:t>
      </w:r>
    </w:p>
    <w:p w14:paraId="511B4065" w14:textId="3FA2BD14" w:rsidR="00910883" w:rsidRPr="00936444" w:rsidRDefault="00910883" w:rsidP="00936444">
      <w:pPr>
        <w:pStyle w:val="Standard"/>
        <w:ind w:left="720"/>
        <w:rPr>
          <w:rFonts w:cs="Calibri"/>
          <w:bCs/>
          <w:color w:val="1C1C1C"/>
          <w:sz w:val="24"/>
          <w:szCs w:val="24"/>
        </w:rPr>
      </w:pPr>
      <w:r w:rsidRPr="00936444">
        <w:rPr>
          <w:rFonts w:cs="Calibri"/>
          <w:bCs/>
          <w:color w:val="1C1C1C"/>
          <w:sz w:val="24"/>
          <w:szCs w:val="24"/>
        </w:rPr>
        <w:t>Odpowiedź</w:t>
      </w:r>
      <w:r w:rsidR="00730457">
        <w:rPr>
          <w:rFonts w:cs="Calibri"/>
          <w:bCs/>
          <w:color w:val="1C1C1C"/>
          <w:sz w:val="24"/>
          <w:szCs w:val="24"/>
        </w:rPr>
        <w:t>:</w:t>
      </w:r>
    </w:p>
    <w:p w14:paraId="3932134D" w14:textId="1D825137" w:rsidR="00910883" w:rsidRPr="00936444" w:rsidRDefault="00910883" w:rsidP="00936444">
      <w:pPr>
        <w:pStyle w:val="Standard"/>
        <w:ind w:left="720"/>
        <w:rPr>
          <w:rFonts w:cs="Calibri"/>
          <w:bCs/>
          <w:color w:val="1C1C1C"/>
          <w:sz w:val="24"/>
          <w:szCs w:val="24"/>
        </w:rPr>
      </w:pPr>
      <w:r w:rsidRPr="00936444">
        <w:rPr>
          <w:rFonts w:cs="Calibri"/>
          <w:bCs/>
          <w:color w:val="1C1C1C"/>
          <w:sz w:val="24"/>
          <w:szCs w:val="24"/>
        </w:rPr>
        <w:t>Pytanie w odniesieniu do przedmiotu zamówienia oraz w ramach sposobu jego sformułowania jest niezrozumiałe i nie odnosi się do szczegółowych zapisów SWZ</w:t>
      </w:r>
    </w:p>
    <w:p w14:paraId="21F2980B" w14:textId="77777777" w:rsidR="00BF47FF" w:rsidRPr="00936444" w:rsidRDefault="00BF47FF" w:rsidP="00936444">
      <w:pPr>
        <w:pStyle w:val="Akapitzlist"/>
        <w:numPr>
          <w:ilvl w:val="0"/>
          <w:numId w:val="1"/>
        </w:numPr>
        <w:spacing w:line="276" w:lineRule="auto"/>
        <w:rPr>
          <w:rFonts w:ascii="Calibri" w:hAnsi="Calibri" w:cs="Calibri"/>
          <w:bCs/>
        </w:rPr>
      </w:pPr>
      <w:r w:rsidRPr="00936444">
        <w:rPr>
          <w:rFonts w:ascii="Calibri" w:hAnsi="Calibri" w:cs="Calibri"/>
          <w:bCs/>
        </w:rPr>
        <w:t>Czy zamawiający dopuszcza,  system sterowania oparty na bezpośredniej komunikacji sterowników opraw przez sieć GSM. Naszym zdaniem jest to stabilniejszy sposób komunikacji pozwalający wyeliminować wiele urządzeń pośrednich. Większość producentów oferuje obecnie taki właśnie rodzaj przesyłania danych.</w:t>
      </w:r>
      <w:r w:rsidRPr="00936444">
        <w:rPr>
          <w:rFonts w:ascii="Calibri" w:hAnsi="Calibri" w:cs="Calibri"/>
          <w:bCs/>
        </w:rPr>
        <w:br/>
        <w:t>Czy zamawiający dopuszcza bardziej powszechny już obecnie system oparty o sieć komórkową? Warto dodać, że jest on dużo pewniejszy i stabilniejszy w działaniu. Nie generuje również w okresie gwarancji żadnych dodatkowych kosztów.</w:t>
      </w:r>
    </w:p>
    <w:p w14:paraId="284C992E" w14:textId="1F00FE7D" w:rsidR="00BF47FF" w:rsidRPr="00936444" w:rsidRDefault="00BF47FF" w:rsidP="00936444">
      <w:pPr>
        <w:pStyle w:val="Akapitzlist"/>
        <w:spacing w:line="276" w:lineRule="auto"/>
        <w:rPr>
          <w:rFonts w:ascii="Calibri" w:hAnsi="Calibri" w:cs="Calibri"/>
          <w:bCs/>
        </w:rPr>
      </w:pPr>
      <w:r w:rsidRPr="00936444">
        <w:rPr>
          <w:rFonts w:ascii="Calibri" w:hAnsi="Calibri" w:cs="Calibri"/>
          <w:bCs/>
        </w:rPr>
        <w:t>Odpowiedź</w:t>
      </w:r>
      <w:r w:rsidR="001E281C">
        <w:rPr>
          <w:rFonts w:ascii="Calibri" w:hAnsi="Calibri" w:cs="Calibri"/>
          <w:bCs/>
        </w:rPr>
        <w:t>:</w:t>
      </w:r>
    </w:p>
    <w:p w14:paraId="280101C9" w14:textId="596DABE1" w:rsidR="00BF47FF" w:rsidRPr="00936444" w:rsidRDefault="00BF47FF" w:rsidP="00936444">
      <w:pPr>
        <w:pStyle w:val="Akapitzlist"/>
        <w:spacing w:line="276" w:lineRule="auto"/>
        <w:rPr>
          <w:rFonts w:ascii="Calibri" w:hAnsi="Calibri" w:cs="Calibri"/>
          <w:bCs/>
        </w:rPr>
      </w:pPr>
      <w:r w:rsidRPr="00936444">
        <w:rPr>
          <w:rFonts w:ascii="Calibri" w:hAnsi="Calibri" w:cs="Calibri"/>
          <w:bCs/>
        </w:rPr>
        <w:t>Zamawiający nie dopuszcza rozwiązań w których komunikacja wykorzystuje sieć GSM. Zapisy SWZ pozostają bez zmian.</w:t>
      </w:r>
    </w:p>
    <w:p w14:paraId="795DC77C" w14:textId="77777777" w:rsidR="00BF47FF" w:rsidRPr="00936444" w:rsidRDefault="00BF47FF" w:rsidP="00936444">
      <w:pPr>
        <w:pStyle w:val="Akapitzlist"/>
        <w:spacing w:line="276" w:lineRule="auto"/>
        <w:rPr>
          <w:rFonts w:ascii="Calibri" w:hAnsi="Calibri" w:cs="Calibri"/>
          <w:bCs/>
        </w:rPr>
      </w:pPr>
    </w:p>
    <w:p w14:paraId="369EC26D" w14:textId="77777777" w:rsidR="00BF47FF" w:rsidRPr="00936444" w:rsidRDefault="00BF47FF" w:rsidP="00936444">
      <w:pPr>
        <w:pStyle w:val="Akapitzlist"/>
        <w:numPr>
          <w:ilvl w:val="0"/>
          <w:numId w:val="1"/>
        </w:numPr>
        <w:spacing w:line="276" w:lineRule="auto"/>
        <w:rPr>
          <w:rFonts w:ascii="Calibri" w:hAnsi="Calibri" w:cs="Calibri"/>
          <w:bCs/>
        </w:rPr>
      </w:pPr>
      <w:r w:rsidRPr="00936444">
        <w:rPr>
          <w:rFonts w:ascii="Calibri" w:hAnsi="Calibri" w:cs="Calibri"/>
          <w:bCs/>
        </w:rPr>
        <w:t>- Oprawa wyposażona w uniwersalny uchwyt do montażu na słupie lub do wysięgnika wykonany i lakierowany w identycznej technologii jak korpus.</w:t>
      </w:r>
      <w:r w:rsidRPr="00936444">
        <w:rPr>
          <w:rFonts w:ascii="Calibri" w:hAnsi="Calibri" w:cs="Calibri"/>
          <w:bCs/>
        </w:rPr>
        <w:br/>
        <w:t>Możliwość regulacji: Na wysięgniku o średnicach 0 48 - 60 mm - regulacja w zakresie minimum -30 do + 30 ze stopniem 5°.</w:t>
      </w:r>
      <w:r w:rsidRPr="00936444">
        <w:rPr>
          <w:rFonts w:ascii="Calibri" w:hAnsi="Calibri" w:cs="Calibri"/>
          <w:bCs/>
        </w:rPr>
        <w:br/>
        <w:t>Zwracamy uwagę, że potrzeba zastosowania tak dużej regulacji jest nadmiarowa. Prosimy o dopuszczenie opraw, które są przystosowane do montażu na wysięgniku lub bezpośrednio na słupie i w każdej z tych pozycji zapewniają możliwość regulacji w zakresie -15°- + 15°. Jest to wystarczający zakres, żeby zapewnić horyzontalne położenie oprawy.</w:t>
      </w:r>
    </w:p>
    <w:p w14:paraId="31DFF483" w14:textId="77777777" w:rsidR="004E4C26" w:rsidRDefault="004E4C26" w:rsidP="00936444">
      <w:pPr>
        <w:pStyle w:val="Akapitzlist"/>
        <w:spacing w:line="276" w:lineRule="auto"/>
        <w:rPr>
          <w:rFonts w:ascii="Calibri" w:hAnsi="Calibri" w:cs="Calibri"/>
          <w:bCs/>
        </w:rPr>
      </w:pPr>
    </w:p>
    <w:p w14:paraId="305BCCBF" w14:textId="2B0D220C" w:rsidR="00BF47FF" w:rsidRPr="00936444" w:rsidRDefault="00BF47FF" w:rsidP="00936444">
      <w:pPr>
        <w:pStyle w:val="Akapitzlist"/>
        <w:spacing w:line="276" w:lineRule="auto"/>
        <w:rPr>
          <w:rFonts w:ascii="Calibri" w:hAnsi="Calibri" w:cs="Calibri"/>
          <w:bCs/>
        </w:rPr>
      </w:pPr>
      <w:r w:rsidRPr="00936444">
        <w:rPr>
          <w:rFonts w:ascii="Calibri" w:hAnsi="Calibri" w:cs="Calibri"/>
          <w:bCs/>
        </w:rPr>
        <w:t>Odpowiedź</w:t>
      </w:r>
      <w:r w:rsidR="00B21BB4">
        <w:rPr>
          <w:rFonts w:ascii="Calibri" w:hAnsi="Calibri" w:cs="Calibri"/>
          <w:bCs/>
        </w:rPr>
        <w:t>:</w:t>
      </w:r>
    </w:p>
    <w:p w14:paraId="1CBAC015" w14:textId="6E8CF8F1" w:rsidR="00BF47FF" w:rsidRPr="00936444" w:rsidRDefault="00C002A5" w:rsidP="00936444">
      <w:pPr>
        <w:pStyle w:val="Akapitzlist"/>
        <w:spacing w:line="276" w:lineRule="auto"/>
        <w:rPr>
          <w:rFonts w:ascii="Calibri" w:hAnsi="Calibri" w:cs="Calibri"/>
          <w:bCs/>
        </w:rPr>
      </w:pPr>
      <w:r w:rsidRPr="00936444">
        <w:rPr>
          <w:rFonts w:ascii="Calibri" w:hAnsi="Calibri" w:cs="Calibri"/>
          <w:bCs/>
        </w:rPr>
        <w:t xml:space="preserve">Zamawiający wymaga aby oprawa posiadała zakres regulacji kąta -30 do +30 stopni w celu zniwelowania kątów nachylenia obecnie zainstalowanych wysięgników i zapewnienia kąta wychylenia oprawy (oprawa ma pozostać w pozycji 0 stopni zgodnie z zapisami w </w:t>
      </w:r>
      <w:r w:rsidR="00B21BB4" w:rsidRPr="00936444">
        <w:rPr>
          <w:rFonts w:ascii="Calibri" w:hAnsi="Calibri" w:cs="Calibri"/>
          <w:bCs/>
        </w:rPr>
        <w:t>Załącznik</w:t>
      </w:r>
      <w:r w:rsidRPr="00936444">
        <w:rPr>
          <w:rFonts w:ascii="Calibri" w:hAnsi="Calibri" w:cs="Calibri"/>
          <w:bCs/>
        </w:rPr>
        <w:t xml:space="preserve"> nr 1 do  OPZ Tabela doboru </w:t>
      </w:r>
      <w:r w:rsidR="00B21BB4" w:rsidRPr="00936444">
        <w:rPr>
          <w:rFonts w:ascii="Calibri" w:hAnsi="Calibri" w:cs="Calibri"/>
          <w:bCs/>
        </w:rPr>
        <w:t>urządzeń</w:t>
      </w:r>
      <w:r w:rsidRPr="00936444">
        <w:rPr>
          <w:rFonts w:ascii="Calibri" w:hAnsi="Calibri" w:cs="Calibri"/>
          <w:bCs/>
        </w:rPr>
        <w:t>). Zapisy SWZ pozostają bez zmian.</w:t>
      </w:r>
    </w:p>
    <w:p w14:paraId="248E80AB" w14:textId="23D9AB3C" w:rsidR="00AB7585" w:rsidRPr="001E281C" w:rsidRDefault="00BF47FF" w:rsidP="00936444">
      <w:pPr>
        <w:pStyle w:val="Akapitzlist"/>
        <w:numPr>
          <w:ilvl w:val="0"/>
          <w:numId w:val="1"/>
        </w:numPr>
        <w:spacing w:line="276" w:lineRule="auto"/>
        <w:rPr>
          <w:rFonts w:ascii="Calibri" w:hAnsi="Calibri" w:cs="Calibri"/>
          <w:bCs/>
        </w:rPr>
      </w:pPr>
      <w:r w:rsidRPr="00936444">
        <w:rPr>
          <w:rFonts w:ascii="Calibri" w:hAnsi="Calibri" w:cs="Calibri"/>
          <w:bCs/>
        </w:rPr>
        <w:t xml:space="preserve"> Oprawa oświetlenia ulicznego o korpusie wykonanym z wysokociśnieniowego odlewu aluminiowego. Obudowa malowana proszkowo na kolor jasnoszary. Zadaj pytanie czy Zamawiający dopuszcza kolor oprawy </w:t>
      </w:r>
      <w:r w:rsidRPr="001E281C">
        <w:rPr>
          <w:rFonts w:ascii="Calibri" w:hAnsi="Calibri" w:cs="Calibri"/>
          <w:bCs/>
        </w:rPr>
        <w:t>parkowej w kolorze RAL 7022</w:t>
      </w:r>
    </w:p>
    <w:p w14:paraId="6F791406" w14:textId="77777777" w:rsidR="00B26B21" w:rsidRDefault="00B26B21" w:rsidP="00936444">
      <w:pPr>
        <w:pStyle w:val="Akapitzlist"/>
        <w:spacing w:line="276" w:lineRule="auto"/>
        <w:rPr>
          <w:rFonts w:ascii="Calibri" w:hAnsi="Calibri" w:cs="Calibri"/>
          <w:bCs/>
        </w:rPr>
      </w:pPr>
    </w:p>
    <w:p w14:paraId="4A4A56AE" w14:textId="130218ED" w:rsidR="00494BC1" w:rsidRPr="001E281C" w:rsidRDefault="00494BC1" w:rsidP="00936444">
      <w:pPr>
        <w:pStyle w:val="Akapitzlist"/>
        <w:spacing w:line="276" w:lineRule="auto"/>
        <w:rPr>
          <w:rFonts w:ascii="Calibri" w:hAnsi="Calibri" w:cs="Calibri"/>
          <w:bCs/>
        </w:rPr>
      </w:pPr>
      <w:r w:rsidRPr="001E281C">
        <w:rPr>
          <w:rFonts w:ascii="Calibri" w:hAnsi="Calibri" w:cs="Calibri"/>
          <w:bCs/>
        </w:rPr>
        <w:lastRenderedPageBreak/>
        <w:t>Odpowiedź</w:t>
      </w:r>
      <w:r w:rsidR="00B26B21">
        <w:rPr>
          <w:rFonts w:ascii="Calibri" w:hAnsi="Calibri" w:cs="Calibri"/>
          <w:bCs/>
        </w:rPr>
        <w:t>:</w:t>
      </w:r>
    </w:p>
    <w:p w14:paraId="20EC1E77" w14:textId="4CF2C5F3" w:rsidR="00494BC1" w:rsidRPr="001E281C" w:rsidRDefault="00494BC1" w:rsidP="00936444">
      <w:pPr>
        <w:pStyle w:val="Akapitzlist"/>
        <w:spacing w:line="276" w:lineRule="auto"/>
        <w:rPr>
          <w:rFonts w:ascii="Calibri" w:hAnsi="Calibri" w:cs="Calibri"/>
          <w:bCs/>
        </w:rPr>
      </w:pPr>
      <w:r w:rsidRPr="001E281C">
        <w:rPr>
          <w:rFonts w:ascii="Calibri" w:hAnsi="Calibri" w:cs="Calibri"/>
          <w:bCs/>
        </w:rPr>
        <w:t xml:space="preserve">Zamawiający nie określał kolorystyki opraw z wykorzystaniem palety RAL. Zamawiający </w:t>
      </w:r>
      <w:r w:rsidR="00936444" w:rsidRPr="001E281C">
        <w:rPr>
          <w:rFonts w:ascii="Calibri" w:hAnsi="Calibri" w:cs="Calibri"/>
          <w:bCs/>
        </w:rPr>
        <w:t>wymaga</w:t>
      </w:r>
      <w:r w:rsidRPr="001E281C">
        <w:rPr>
          <w:rFonts w:ascii="Calibri" w:hAnsi="Calibri" w:cs="Calibri"/>
          <w:bCs/>
        </w:rPr>
        <w:t xml:space="preserve"> opraw malowanych na kolor jasnoszary bez szczegółowych wymagań. </w:t>
      </w:r>
    </w:p>
    <w:p w14:paraId="1D597920" w14:textId="77777777" w:rsidR="00494BC1" w:rsidRPr="001E281C" w:rsidRDefault="00494BC1" w:rsidP="00936444">
      <w:pPr>
        <w:pStyle w:val="Akapitzlist"/>
        <w:spacing w:line="276" w:lineRule="auto"/>
        <w:rPr>
          <w:rFonts w:ascii="Calibri" w:hAnsi="Calibri" w:cs="Calibri"/>
          <w:bCs/>
        </w:rPr>
      </w:pPr>
    </w:p>
    <w:p w14:paraId="20CE93A6" w14:textId="77777777" w:rsidR="00494BC1" w:rsidRPr="001E281C" w:rsidRDefault="00494BC1" w:rsidP="00936444">
      <w:pPr>
        <w:pStyle w:val="Akapitzlist"/>
        <w:numPr>
          <w:ilvl w:val="0"/>
          <w:numId w:val="1"/>
        </w:numPr>
        <w:spacing w:line="276" w:lineRule="auto"/>
        <w:rPr>
          <w:rFonts w:ascii="Calibri" w:hAnsi="Calibri" w:cs="Calibri"/>
          <w:bCs/>
        </w:rPr>
      </w:pPr>
      <w:r w:rsidRPr="001E281C">
        <w:rPr>
          <w:rFonts w:ascii="Calibri" w:hAnsi="Calibri" w:cs="Calibri"/>
          <w:bCs/>
        </w:rPr>
        <w:t>Zamawiający wymaga opraw wyposażonych w uchwyt umożliwiający regulację kąta nachylenia oprawy w zakresie od -30° do +30°, a następnie zabrania korzystania z tej funkcji narzucając kąt nachylenia oprawy równy 0°. Wykonawca wnosi o zniesienie bezpodstawnego wymogu narzucenia kąta nachylenia oprawy wynoszącego 0° pozwalając na bardziej efektywne oświetlenie dróg.</w:t>
      </w:r>
    </w:p>
    <w:p w14:paraId="3F7C9FD9" w14:textId="77777777" w:rsidR="004E4C26" w:rsidRDefault="004E4C26" w:rsidP="00936444">
      <w:pPr>
        <w:pStyle w:val="Akapitzlist"/>
        <w:spacing w:line="276" w:lineRule="auto"/>
        <w:rPr>
          <w:rFonts w:ascii="Calibri" w:hAnsi="Calibri" w:cs="Calibri"/>
          <w:bCs/>
        </w:rPr>
      </w:pPr>
    </w:p>
    <w:p w14:paraId="62A78E03" w14:textId="33578456" w:rsidR="00494BC1" w:rsidRPr="001E281C" w:rsidRDefault="00494BC1" w:rsidP="00936444">
      <w:pPr>
        <w:pStyle w:val="Akapitzlist"/>
        <w:spacing w:line="276" w:lineRule="auto"/>
        <w:rPr>
          <w:rFonts w:ascii="Calibri" w:hAnsi="Calibri" w:cs="Calibri"/>
          <w:bCs/>
        </w:rPr>
      </w:pPr>
      <w:r w:rsidRPr="001E281C">
        <w:rPr>
          <w:rFonts w:ascii="Calibri" w:hAnsi="Calibri" w:cs="Calibri"/>
          <w:bCs/>
        </w:rPr>
        <w:t>Odpowiedź</w:t>
      </w:r>
      <w:r w:rsidR="004E4C26">
        <w:rPr>
          <w:rFonts w:ascii="Calibri" w:hAnsi="Calibri" w:cs="Calibri"/>
          <w:bCs/>
        </w:rPr>
        <w:t>:</w:t>
      </w:r>
    </w:p>
    <w:p w14:paraId="5AF342CA" w14:textId="77777777" w:rsidR="00B21BB4" w:rsidRPr="001E281C" w:rsidRDefault="00B21BB4" w:rsidP="00B21BB4">
      <w:pPr>
        <w:pStyle w:val="Akapitzlist"/>
        <w:spacing w:line="276" w:lineRule="auto"/>
        <w:rPr>
          <w:rFonts w:ascii="Calibri" w:hAnsi="Calibri" w:cs="Calibri"/>
          <w:bCs/>
        </w:rPr>
      </w:pPr>
      <w:r w:rsidRPr="001E281C">
        <w:rPr>
          <w:rFonts w:ascii="Calibri" w:hAnsi="Calibri" w:cs="Calibri"/>
          <w:bCs/>
        </w:rPr>
        <w:t>Zamawiający wymaga aby oprawa posiadała zakres regulacji kąta -30 do +30 stopni w celu zniwelowania kątów nachylenia obecnie zainstalowanych wysięgników i zapewnienia kąta wychylenia oprawy (oprawa ma pozostać w pozycji 0 stopni zgodnie z zapisami w Załącznik nr 1 do  OPZ Tabela doboru urządzeń). Zapisy SWZ pozostają bez zmian.</w:t>
      </w:r>
    </w:p>
    <w:p w14:paraId="5674CBD0" w14:textId="77777777" w:rsidR="00494BC1" w:rsidRPr="001E281C" w:rsidRDefault="00494BC1" w:rsidP="00936444">
      <w:pPr>
        <w:pStyle w:val="Akapitzlist"/>
        <w:spacing w:line="276" w:lineRule="auto"/>
        <w:rPr>
          <w:rFonts w:ascii="Calibri" w:hAnsi="Calibri" w:cs="Calibri"/>
          <w:bCs/>
        </w:rPr>
      </w:pPr>
    </w:p>
    <w:p w14:paraId="0BAE007A" w14:textId="08D9A654" w:rsidR="00494BC1" w:rsidRPr="001E281C" w:rsidRDefault="00494BC1" w:rsidP="00936444">
      <w:pPr>
        <w:pStyle w:val="Akapitzlist"/>
        <w:numPr>
          <w:ilvl w:val="0"/>
          <w:numId w:val="1"/>
        </w:numPr>
        <w:spacing w:line="276" w:lineRule="auto"/>
        <w:rPr>
          <w:rFonts w:ascii="Calibri" w:hAnsi="Calibri" w:cs="Calibri"/>
          <w:bCs/>
        </w:rPr>
      </w:pPr>
      <w:r w:rsidRPr="001E281C">
        <w:rPr>
          <w:rFonts w:ascii="Calibri" w:hAnsi="Calibri" w:cs="Calibri"/>
          <w:bCs/>
        </w:rPr>
        <w:t>Prosimy o potwierdzenie, że w zakres prac wchodzi tylko wymiana opraw oświetleniowych wraz z zainstalowanymi sterownikami systemu sterowania oświetleniem oraz utylizacja wyeksploatowanych lamp.</w:t>
      </w:r>
    </w:p>
    <w:p w14:paraId="67FCBB68" w14:textId="77777777" w:rsidR="00B26B21" w:rsidRDefault="00B26B21" w:rsidP="00936444">
      <w:pPr>
        <w:pStyle w:val="Akapitzlist"/>
        <w:spacing w:line="276" w:lineRule="auto"/>
        <w:rPr>
          <w:rFonts w:ascii="Calibri" w:hAnsi="Calibri" w:cs="Calibri"/>
          <w:bCs/>
        </w:rPr>
      </w:pPr>
    </w:p>
    <w:p w14:paraId="41CBECDB" w14:textId="5040FB7D" w:rsidR="00494BC1" w:rsidRPr="001E281C" w:rsidRDefault="00494BC1" w:rsidP="00936444">
      <w:pPr>
        <w:pStyle w:val="Akapitzlist"/>
        <w:spacing w:line="276" w:lineRule="auto"/>
        <w:rPr>
          <w:rFonts w:ascii="Calibri" w:hAnsi="Calibri" w:cs="Calibri"/>
          <w:bCs/>
        </w:rPr>
      </w:pPr>
      <w:r w:rsidRPr="001E281C">
        <w:rPr>
          <w:rFonts w:ascii="Calibri" w:hAnsi="Calibri" w:cs="Calibri"/>
          <w:bCs/>
        </w:rPr>
        <w:t>Odpowiedź</w:t>
      </w:r>
      <w:r w:rsidR="004E4C26">
        <w:rPr>
          <w:rFonts w:ascii="Calibri" w:hAnsi="Calibri" w:cs="Calibri"/>
          <w:bCs/>
        </w:rPr>
        <w:t>:</w:t>
      </w:r>
    </w:p>
    <w:p w14:paraId="3E84D393" w14:textId="24297460" w:rsidR="00BC4A72" w:rsidRPr="001E281C" w:rsidRDefault="00BC4A72" w:rsidP="00936444">
      <w:pPr>
        <w:pStyle w:val="Akapitzlist"/>
        <w:spacing w:line="276" w:lineRule="auto"/>
        <w:rPr>
          <w:rFonts w:ascii="Calibri" w:hAnsi="Calibri" w:cs="Calibri"/>
          <w:bCs/>
        </w:rPr>
      </w:pPr>
      <w:bookmarkStart w:id="0" w:name="_Hlk174445743"/>
      <w:r w:rsidRPr="001E281C">
        <w:rPr>
          <w:rFonts w:ascii="Calibri" w:hAnsi="Calibri" w:cs="Calibri"/>
          <w:bCs/>
        </w:rPr>
        <w:t>Zamawiający odpowiada</w:t>
      </w:r>
      <w:r w:rsidR="007D1E8F" w:rsidRPr="001E281C">
        <w:rPr>
          <w:rFonts w:ascii="Calibri" w:hAnsi="Calibri" w:cs="Calibri"/>
          <w:bCs/>
        </w:rPr>
        <w:t>,</w:t>
      </w:r>
      <w:r w:rsidRPr="001E281C">
        <w:rPr>
          <w:rFonts w:ascii="Calibri" w:hAnsi="Calibri" w:cs="Calibri"/>
          <w:bCs/>
        </w:rPr>
        <w:t xml:space="preserve"> </w:t>
      </w:r>
      <w:r w:rsidR="007D1E8F" w:rsidRPr="001E281C">
        <w:rPr>
          <w:rFonts w:ascii="Calibri" w:hAnsi="Calibri" w:cs="Calibri"/>
          <w:bCs/>
        </w:rPr>
        <w:t>ż</w:t>
      </w:r>
      <w:r w:rsidRPr="001E281C">
        <w:rPr>
          <w:rFonts w:ascii="Calibri" w:hAnsi="Calibri" w:cs="Calibri"/>
          <w:bCs/>
        </w:rPr>
        <w:t xml:space="preserve">e zakres  prac został określony w  opisie  przedmiotu zamówienia oraz </w:t>
      </w:r>
      <w:r w:rsidR="007D1E8F" w:rsidRPr="001E281C">
        <w:rPr>
          <w:rFonts w:ascii="Calibri" w:hAnsi="Calibri" w:cs="Calibri"/>
          <w:bCs/>
        </w:rPr>
        <w:t>projektowanych postanowieniach umowy</w:t>
      </w:r>
      <w:r w:rsidRPr="001E281C">
        <w:rPr>
          <w:rFonts w:ascii="Calibri" w:hAnsi="Calibri" w:cs="Calibri"/>
          <w:bCs/>
        </w:rPr>
        <w:t>.</w:t>
      </w:r>
    </w:p>
    <w:bookmarkEnd w:id="0"/>
    <w:p w14:paraId="36B72A04" w14:textId="77777777" w:rsidR="00BC4A72" w:rsidRPr="001E281C" w:rsidRDefault="00BC4A72" w:rsidP="00936444">
      <w:pPr>
        <w:pStyle w:val="Akapitzlist"/>
        <w:spacing w:line="276" w:lineRule="auto"/>
        <w:rPr>
          <w:rFonts w:ascii="Calibri" w:hAnsi="Calibri" w:cs="Calibri"/>
          <w:bCs/>
        </w:rPr>
      </w:pPr>
    </w:p>
    <w:p w14:paraId="3A754EEF" w14:textId="52655969" w:rsidR="00FA6674" w:rsidRPr="001E281C" w:rsidRDefault="00FA6674" w:rsidP="00936444">
      <w:pPr>
        <w:pStyle w:val="Akapitzlist"/>
        <w:numPr>
          <w:ilvl w:val="0"/>
          <w:numId w:val="1"/>
        </w:numPr>
        <w:spacing w:line="276" w:lineRule="auto"/>
        <w:rPr>
          <w:rFonts w:ascii="Calibri" w:hAnsi="Calibri" w:cs="Calibri"/>
          <w:bCs/>
        </w:rPr>
      </w:pPr>
      <w:r w:rsidRPr="001E281C">
        <w:rPr>
          <w:rFonts w:ascii="Calibri" w:hAnsi="Calibri" w:cs="Calibri"/>
          <w:bCs/>
        </w:rPr>
        <w:t>Uprzejmie proszę o potwierdzenie, że oferta w tym w szczególności przedmiotowe i podmiotowe środki dowodowe muszą być podpisane elektronicznie.</w:t>
      </w:r>
    </w:p>
    <w:p w14:paraId="145D0978" w14:textId="77777777" w:rsidR="00B26B21" w:rsidRDefault="00B26B21" w:rsidP="00936444">
      <w:pPr>
        <w:pStyle w:val="Akapitzlist"/>
        <w:spacing w:line="276" w:lineRule="auto"/>
        <w:rPr>
          <w:rFonts w:ascii="Calibri" w:hAnsi="Calibri" w:cs="Calibri"/>
          <w:bCs/>
        </w:rPr>
      </w:pPr>
    </w:p>
    <w:p w14:paraId="34373A85" w14:textId="208E764C" w:rsidR="00147326" w:rsidRPr="001E281C" w:rsidRDefault="00FA6674" w:rsidP="00936444">
      <w:pPr>
        <w:pStyle w:val="Akapitzlist"/>
        <w:spacing w:line="276" w:lineRule="auto"/>
        <w:rPr>
          <w:rFonts w:ascii="Calibri" w:hAnsi="Calibri" w:cs="Calibri"/>
          <w:bCs/>
        </w:rPr>
      </w:pPr>
      <w:r w:rsidRPr="001E281C">
        <w:rPr>
          <w:rFonts w:ascii="Calibri" w:hAnsi="Calibri" w:cs="Calibri"/>
          <w:bCs/>
        </w:rPr>
        <w:t>Odpowiedź</w:t>
      </w:r>
      <w:r w:rsidR="00494CDB" w:rsidRPr="001E281C">
        <w:rPr>
          <w:rFonts w:ascii="Calibri" w:hAnsi="Calibri" w:cs="Calibri"/>
          <w:bCs/>
        </w:rPr>
        <w:t xml:space="preserve">: </w:t>
      </w:r>
    </w:p>
    <w:p w14:paraId="4EE8DCEF" w14:textId="699068AE" w:rsidR="00FA6674" w:rsidRPr="00936444" w:rsidRDefault="00E25266" w:rsidP="00936444">
      <w:pPr>
        <w:pStyle w:val="Akapitzlist"/>
        <w:spacing w:line="276" w:lineRule="auto"/>
        <w:rPr>
          <w:rFonts w:ascii="Calibri" w:hAnsi="Calibri" w:cs="Calibri"/>
          <w:bCs/>
        </w:rPr>
      </w:pPr>
      <w:r w:rsidRPr="00936444">
        <w:rPr>
          <w:rFonts w:ascii="Calibri" w:eastAsia="Times New Roman" w:hAnsi="Calibri" w:cs="Calibri"/>
          <w:bCs/>
          <w:lang w:eastAsia="ar-SA"/>
        </w:rPr>
        <w:t xml:space="preserve">Oferta, </w:t>
      </w:r>
      <w:r w:rsidRPr="00936444">
        <w:rPr>
          <w:rFonts w:ascii="Calibri" w:hAnsi="Calibri" w:cs="Calibri"/>
          <w:bCs/>
        </w:rPr>
        <w:t xml:space="preserve">przedmiotowe </w:t>
      </w:r>
      <w:r w:rsidR="009420F0" w:rsidRPr="00936444">
        <w:rPr>
          <w:rFonts w:ascii="Calibri" w:hAnsi="Calibri" w:cs="Calibri"/>
          <w:bCs/>
        </w:rPr>
        <w:t xml:space="preserve">środki dowodowe </w:t>
      </w:r>
      <w:r w:rsidRPr="00936444">
        <w:rPr>
          <w:rFonts w:ascii="Calibri" w:hAnsi="Calibri" w:cs="Calibri"/>
          <w:bCs/>
        </w:rPr>
        <w:t xml:space="preserve">i podmiotowe środki dowodowe muszą  być opatrzone  kwalifikowanym podpisem elektronicznym, zgodnie z zapisami  zawartymi </w:t>
      </w:r>
      <w:r w:rsidR="00036870" w:rsidRPr="00936444">
        <w:rPr>
          <w:rFonts w:ascii="Calibri" w:eastAsia="Times New Roman" w:hAnsi="Calibri" w:cs="Calibri"/>
          <w:bCs/>
          <w:lang w:eastAsia="ar-SA"/>
        </w:rPr>
        <w:t xml:space="preserve">SWZ rozdział </w:t>
      </w:r>
      <w:r w:rsidR="00433418" w:rsidRPr="00936444">
        <w:rPr>
          <w:rFonts w:ascii="Calibri" w:eastAsia="Times New Roman" w:hAnsi="Calibri" w:cs="Calibri"/>
          <w:bCs/>
          <w:lang w:eastAsia="ar-SA"/>
        </w:rPr>
        <w:t>XIV</w:t>
      </w:r>
      <w:r w:rsidRPr="00936444">
        <w:rPr>
          <w:rFonts w:ascii="Calibri" w:eastAsia="Times New Roman" w:hAnsi="Calibri" w:cs="Calibri"/>
          <w:bCs/>
          <w:lang w:eastAsia="ar-SA"/>
        </w:rPr>
        <w:t xml:space="preserve"> oraz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C2F636" w14:textId="77777777" w:rsidR="00433418" w:rsidRPr="00936444" w:rsidRDefault="00433418" w:rsidP="00936444">
      <w:pPr>
        <w:pStyle w:val="Akapitzlist"/>
        <w:spacing w:line="276" w:lineRule="auto"/>
        <w:rPr>
          <w:rFonts w:ascii="Calibri" w:hAnsi="Calibri" w:cs="Calibri"/>
          <w:bCs/>
        </w:rPr>
      </w:pPr>
    </w:p>
    <w:p w14:paraId="4EDCF194" w14:textId="77777777" w:rsidR="00FA6674" w:rsidRPr="003B7730" w:rsidRDefault="00FA6674" w:rsidP="00936444">
      <w:pPr>
        <w:pStyle w:val="Akapitzlist"/>
        <w:numPr>
          <w:ilvl w:val="0"/>
          <w:numId w:val="1"/>
        </w:numPr>
        <w:spacing w:line="276" w:lineRule="auto"/>
        <w:rPr>
          <w:rFonts w:ascii="Calibri" w:hAnsi="Calibri" w:cs="Calibri"/>
          <w:bCs/>
        </w:rPr>
      </w:pPr>
      <w:r w:rsidRPr="00936444">
        <w:rPr>
          <w:rFonts w:ascii="Calibri" w:hAnsi="Calibri" w:cs="Calibri"/>
          <w:bCs/>
        </w:rPr>
        <w:t xml:space="preserve">Czy Zamawiający stawia jakieś wymagania w zakresie wysokości sumy gwarancyjnej </w:t>
      </w:r>
      <w:r w:rsidRPr="003B7730">
        <w:rPr>
          <w:rFonts w:ascii="Calibri" w:hAnsi="Calibri" w:cs="Calibri"/>
          <w:bCs/>
        </w:rPr>
        <w:t>polisy od odpowiedzialności cywilnej ?</w:t>
      </w:r>
    </w:p>
    <w:p w14:paraId="40B38D3B" w14:textId="77777777" w:rsidR="003B7730" w:rsidRPr="003B7730" w:rsidRDefault="003B7730" w:rsidP="00936444">
      <w:pPr>
        <w:pStyle w:val="Akapitzlist"/>
        <w:spacing w:line="276" w:lineRule="auto"/>
        <w:rPr>
          <w:rFonts w:ascii="Calibri" w:hAnsi="Calibri" w:cs="Calibri"/>
          <w:bCs/>
        </w:rPr>
      </w:pPr>
    </w:p>
    <w:p w14:paraId="3842B7C5" w14:textId="461F7AB7" w:rsidR="00553C3E" w:rsidRPr="003B7730" w:rsidRDefault="00FA6674" w:rsidP="00936444">
      <w:pPr>
        <w:pStyle w:val="Akapitzlist"/>
        <w:spacing w:line="276" w:lineRule="auto"/>
        <w:rPr>
          <w:rFonts w:ascii="Calibri" w:hAnsi="Calibri" w:cs="Calibri"/>
          <w:bCs/>
        </w:rPr>
      </w:pPr>
      <w:r w:rsidRPr="003B7730">
        <w:rPr>
          <w:rFonts w:ascii="Calibri" w:hAnsi="Calibri" w:cs="Calibri"/>
          <w:bCs/>
        </w:rPr>
        <w:lastRenderedPageBreak/>
        <w:t>Odpowiedź</w:t>
      </w:r>
      <w:r w:rsidR="00494CDB" w:rsidRPr="003B7730">
        <w:rPr>
          <w:rFonts w:ascii="Calibri" w:hAnsi="Calibri" w:cs="Calibri"/>
          <w:bCs/>
        </w:rPr>
        <w:t xml:space="preserve">: </w:t>
      </w:r>
    </w:p>
    <w:p w14:paraId="7A6EAD78" w14:textId="04A4905B" w:rsidR="00FA6674" w:rsidRPr="003B7730" w:rsidRDefault="00494CDB" w:rsidP="00936444">
      <w:pPr>
        <w:pStyle w:val="Akapitzlist"/>
        <w:spacing w:line="276" w:lineRule="auto"/>
        <w:rPr>
          <w:rFonts w:ascii="Calibri" w:hAnsi="Calibri" w:cs="Calibri"/>
          <w:bCs/>
        </w:rPr>
      </w:pPr>
      <w:r w:rsidRPr="003B7730">
        <w:rPr>
          <w:rFonts w:ascii="Calibri" w:hAnsi="Calibri" w:cs="Calibri"/>
          <w:bCs/>
        </w:rPr>
        <w:t xml:space="preserve">Zapis  został  uregulowany w § 2  ust. 4 załącznika  nr  2  projektowane postanowienia  umowy.   </w:t>
      </w:r>
    </w:p>
    <w:p w14:paraId="38C47770" w14:textId="77777777" w:rsidR="003B7730" w:rsidRPr="003B7730" w:rsidRDefault="003B7730" w:rsidP="00936444">
      <w:pPr>
        <w:pStyle w:val="Akapitzlist"/>
        <w:spacing w:line="276" w:lineRule="auto"/>
        <w:rPr>
          <w:rFonts w:ascii="Calibri" w:hAnsi="Calibri" w:cs="Calibri"/>
          <w:bCs/>
        </w:rPr>
      </w:pPr>
    </w:p>
    <w:p w14:paraId="25CE4305" w14:textId="5FEE2A63" w:rsidR="00FA6674" w:rsidRPr="003B7730" w:rsidRDefault="00FA6674" w:rsidP="00936444">
      <w:pPr>
        <w:pStyle w:val="Akapitzlist"/>
        <w:numPr>
          <w:ilvl w:val="0"/>
          <w:numId w:val="1"/>
        </w:numPr>
        <w:spacing w:line="276" w:lineRule="auto"/>
        <w:rPr>
          <w:rFonts w:ascii="Calibri" w:hAnsi="Calibri" w:cs="Calibri"/>
          <w:bCs/>
        </w:rPr>
      </w:pPr>
      <w:r w:rsidRPr="003B7730">
        <w:rPr>
          <w:rFonts w:ascii="Calibri" w:hAnsi="Calibri" w:cs="Calibri"/>
          <w:bCs/>
        </w:rPr>
        <w:t>Uprzejmie proszę o podanie kolorów opraw w palecie RAL.</w:t>
      </w:r>
    </w:p>
    <w:p w14:paraId="1C7A72AF" w14:textId="77777777" w:rsidR="00B26B21" w:rsidRDefault="00B26B21" w:rsidP="00936444">
      <w:pPr>
        <w:pStyle w:val="Akapitzlist"/>
        <w:spacing w:line="276" w:lineRule="auto"/>
        <w:rPr>
          <w:rFonts w:ascii="Calibri" w:hAnsi="Calibri" w:cs="Calibri"/>
          <w:bCs/>
        </w:rPr>
      </w:pPr>
    </w:p>
    <w:p w14:paraId="44DD13C5" w14:textId="44F8EBCA" w:rsidR="00FA6674" w:rsidRPr="003B7730" w:rsidRDefault="00FA6674" w:rsidP="00936444">
      <w:pPr>
        <w:pStyle w:val="Akapitzlist"/>
        <w:spacing w:line="276" w:lineRule="auto"/>
        <w:rPr>
          <w:rFonts w:ascii="Calibri" w:hAnsi="Calibri" w:cs="Calibri"/>
          <w:bCs/>
        </w:rPr>
      </w:pPr>
      <w:r w:rsidRPr="003B7730">
        <w:rPr>
          <w:rFonts w:ascii="Calibri" w:hAnsi="Calibri" w:cs="Calibri"/>
          <w:bCs/>
        </w:rPr>
        <w:t>Odpowiedź</w:t>
      </w:r>
      <w:r w:rsidR="00B26B21">
        <w:rPr>
          <w:rFonts w:ascii="Calibri" w:hAnsi="Calibri" w:cs="Calibri"/>
          <w:bCs/>
        </w:rPr>
        <w:t>:</w:t>
      </w:r>
    </w:p>
    <w:p w14:paraId="17AA1724" w14:textId="5C33C4CB" w:rsidR="00AF7851" w:rsidRPr="003B7730" w:rsidRDefault="00AF7851" w:rsidP="00AF7851">
      <w:pPr>
        <w:pStyle w:val="Akapitzlist"/>
        <w:spacing w:line="276" w:lineRule="auto"/>
        <w:rPr>
          <w:rFonts w:ascii="Calibri" w:hAnsi="Calibri" w:cs="Calibri"/>
          <w:bCs/>
        </w:rPr>
      </w:pPr>
      <w:r w:rsidRPr="003B7730">
        <w:rPr>
          <w:rFonts w:ascii="Calibri" w:hAnsi="Calibri" w:cs="Calibri"/>
          <w:bCs/>
        </w:rPr>
        <w:t xml:space="preserve">Zamawiający nie określał kolorystyki opraw z wykorzystaniem palety RAL. Zamawiający wymaga opraw malowanych na kolor jasnoszary bez szczegółowych wymagań. </w:t>
      </w:r>
    </w:p>
    <w:p w14:paraId="1E8C94F9" w14:textId="77777777" w:rsidR="00C10130" w:rsidRPr="003B7730" w:rsidRDefault="00C10130" w:rsidP="00936444">
      <w:pPr>
        <w:pStyle w:val="Akapitzlist"/>
        <w:spacing w:line="276" w:lineRule="auto"/>
        <w:rPr>
          <w:rFonts w:ascii="Calibri" w:hAnsi="Calibri" w:cs="Calibri"/>
          <w:bCs/>
        </w:rPr>
      </w:pPr>
    </w:p>
    <w:p w14:paraId="0B083849" w14:textId="1C5BFB24" w:rsidR="00494BC1" w:rsidRPr="003B7730" w:rsidRDefault="00BE31FE" w:rsidP="00936444">
      <w:pPr>
        <w:pStyle w:val="Akapitzlist"/>
        <w:numPr>
          <w:ilvl w:val="0"/>
          <w:numId w:val="1"/>
        </w:numPr>
        <w:spacing w:line="276" w:lineRule="auto"/>
        <w:rPr>
          <w:rFonts w:ascii="Calibri" w:hAnsi="Calibri" w:cs="Calibri"/>
          <w:bCs/>
        </w:rPr>
      </w:pPr>
      <w:r w:rsidRPr="003B7730">
        <w:rPr>
          <w:rFonts w:ascii="Calibri" w:hAnsi="Calibri" w:cs="Calibri"/>
          <w:bCs/>
        </w:rPr>
        <w:t>Czy wraz z wymianą opraw należy wymienić przewody zasilające lub zabezpieczenie? Czy w zakres wymiany wchodzą jedynie oprawy?</w:t>
      </w:r>
    </w:p>
    <w:p w14:paraId="10A876DA" w14:textId="77777777" w:rsidR="00420A87" w:rsidRDefault="00420A87" w:rsidP="00936444">
      <w:pPr>
        <w:pStyle w:val="Akapitzlist"/>
        <w:spacing w:line="276" w:lineRule="auto"/>
        <w:rPr>
          <w:rFonts w:ascii="Calibri" w:hAnsi="Calibri" w:cs="Calibri"/>
          <w:bCs/>
        </w:rPr>
      </w:pPr>
    </w:p>
    <w:p w14:paraId="795F98C0" w14:textId="1B4DBF16" w:rsidR="00420A87" w:rsidRDefault="00420A87" w:rsidP="00936444">
      <w:pPr>
        <w:pStyle w:val="Akapitzlist"/>
        <w:spacing w:line="276" w:lineRule="auto"/>
        <w:rPr>
          <w:rFonts w:ascii="Calibri" w:hAnsi="Calibri" w:cs="Calibri"/>
          <w:bCs/>
        </w:rPr>
      </w:pPr>
      <w:r>
        <w:rPr>
          <w:rFonts w:ascii="Calibri" w:hAnsi="Calibri" w:cs="Calibri"/>
          <w:bCs/>
        </w:rPr>
        <w:t>Odpowiedź:</w:t>
      </w:r>
    </w:p>
    <w:p w14:paraId="4B9F9A8D" w14:textId="33C8DABB" w:rsidR="00B26B21" w:rsidRDefault="00420A87" w:rsidP="00936444">
      <w:pPr>
        <w:pStyle w:val="Akapitzlist"/>
        <w:spacing w:line="276" w:lineRule="auto"/>
        <w:rPr>
          <w:rFonts w:ascii="Calibri" w:hAnsi="Calibri" w:cs="Calibri"/>
          <w:bCs/>
        </w:rPr>
      </w:pPr>
      <w:r w:rsidRPr="00420A87">
        <w:rPr>
          <w:rFonts w:ascii="Calibri" w:hAnsi="Calibri" w:cs="Calibri"/>
          <w:bCs/>
        </w:rPr>
        <w:t xml:space="preserve">Zamawiający nie wykonał szczegółowego audytu i nie dysponuje wiedzą na temat konieczności wymiany przewodów zasilających bądź zabezpieczeń. Zamawiający określił zakres zamówienia w </w:t>
      </w:r>
      <w:r w:rsidR="006C0577">
        <w:rPr>
          <w:rFonts w:ascii="Calibri" w:hAnsi="Calibri" w:cs="Calibri"/>
          <w:bCs/>
        </w:rPr>
        <w:t>o</w:t>
      </w:r>
      <w:r w:rsidRPr="00420A87">
        <w:rPr>
          <w:rFonts w:ascii="Calibri" w:hAnsi="Calibri" w:cs="Calibri"/>
          <w:bCs/>
        </w:rPr>
        <w:t>pisie</w:t>
      </w:r>
      <w:r w:rsidR="006C0577">
        <w:rPr>
          <w:rFonts w:ascii="Calibri" w:hAnsi="Calibri" w:cs="Calibri"/>
          <w:bCs/>
        </w:rPr>
        <w:t xml:space="preserve"> p</w:t>
      </w:r>
      <w:r w:rsidRPr="00420A87">
        <w:rPr>
          <w:rFonts w:ascii="Calibri" w:hAnsi="Calibri" w:cs="Calibri"/>
          <w:bCs/>
        </w:rPr>
        <w:t xml:space="preserve">rzedmiotu </w:t>
      </w:r>
      <w:r w:rsidR="006C0577">
        <w:rPr>
          <w:rFonts w:ascii="Calibri" w:hAnsi="Calibri" w:cs="Calibri"/>
          <w:bCs/>
        </w:rPr>
        <w:t>z</w:t>
      </w:r>
      <w:r w:rsidRPr="00420A87">
        <w:rPr>
          <w:rFonts w:ascii="Calibri" w:hAnsi="Calibri" w:cs="Calibri"/>
          <w:bCs/>
        </w:rPr>
        <w:t>amówienia oraz projektowanych postanowieniach umowy. Zamawiający oczekuje realizacji zadania w sposób zgodny z obowiązującymi normami.</w:t>
      </w:r>
    </w:p>
    <w:p w14:paraId="21011660" w14:textId="77777777" w:rsidR="00420A87" w:rsidRPr="003B7730" w:rsidRDefault="00420A87" w:rsidP="00936444">
      <w:pPr>
        <w:pStyle w:val="Akapitzlist"/>
        <w:spacing w:line="276" w:lineRule="auto"/>
        <w:rPr>
          <w:rFonts w:ascii="Calibri" w:hAnsi="Calibri" w:cs="Calibri"/>
          <w:bCs/>
        </w:rPr>
      </w:pPr>
    </w:p>
    <w:p w14:paraId="116468EB" w14:textId="592CDD55" w:rsidR="00BE31FE" w:rsidRPr="003B7730" w:rsidRDefault="00BE31FE" w:rsidP="00936444">
      <w:pPr>
        <w:pStyle w:val="Akapitzlist"/>
        <w:numPr>
          <w:ilvl w:val="0"/>
          <w:numId w:val="1"/>
        </w:numPr>
        <w:spacing w:line="276" w:lineRule="auto"/>
        <w:rPr>
          <w:rFonts w:ascii="Calibri" w:hAnsi="Calibri" w:cs="Calibri"/>
          <w:bCs/>
        </w:rPr>
      </w:pPr>
      <w:r w:rsidRPr="003B7730">
        <w:rPr>
          <w:rFonts w:ascii="Calibri" w:hAnsi="Calibri" w:cs="Calibri"/>
          <w:bCs/>
        </w:rPr>
        <w:t>Czy zakres zamówienia obejmuje jedynie wymianę opraw? Czy należy wymienić przewody zasilające, bezpieczniki?</w:t>
      </w:r>
    </w:p>
    <w:p w14:paraId="60539C23" w14:textId="77777777" w:rsidR="00687E3D" w:rsidRPr="003B7730" w:rsidRDefault="00687E3D" w:rsidP="00936444">
      <w:pPr>
        <w:pStyle w:val="Akapitzlist"/>
        <w:spacing w:line="276" w:lineRule="auto"/>
        <w:rPr>
          <w:rFonts w:ascii="Calibri" w:hAnsi="Calibri" w:cs="Calibri"/>
          <w:bCs/>
        </w:rPr>
      </w:pPr>
    </w:p>
    <w:p w14:paraId="02D361FC" w14:textId="6745156B" w:rsidR="00BE31FE" w:rsidRPr="003B7730" w:rsidRDefault="00BE31FE" w:rsidP="00936444">
      <w:pPr>
        <w:pStyle w:val="Akapitzlist"/>
        <w:spacing w:line="276" w:lineRule="auto"/>
        <w:rPr>
          <w:rFonts w:ascii="Calibri" w:hAnsi="Calibri" w:cs="Calibri"/>
          <w:bCs/>
        </w:rPr>
      </w:pPr>
      <w:r w:rsidRPr="003B7730">
        <w:rPr>
          <w:rFonts w:ascii="Calibri" w:hAnsi="Calibri" w:cs="Calibri"/>
          <w:bCs/>
        </w:rPr>
        <w:t>Odpowiedź</w:t>
      </w:r>
      <w:r w:rsidR="00687E3D" w:rsidRPr="003B7730">
        <w:rPr>
          <w:rFonts w:ascii="Calibri" w:hAnsi="Calibri" w:cs="Calibri"/>
          <w:bCs/>
        </w:rPr>
        <w:t>:</w:t>
      </w:r>
    </w:p>
    <w:p w14:paraId="62DD2BD1" w14:textId="4D3FA495" w:rsidR="007D1E8F" w:rsidRPr="003B7730" w:rsidRDefault="00420A87" w:rsidP="007D1E8F">
      <w:pPr>
        <w:pStyle w:val="Akapitzlist"/>
        <w:spacing w:line="276" w:lineRule="auto"/>
        <w:rPr>
          <w:rFonts w:ascii="Calibri" w:hAnsi="Calibri" w:cs="Calibri"/>
          <w:bCs/>
        </w:rPr>
      </w:pPr>
      <w:r w:rsidRPr="00420A87">
        <w:rPr>
          <w:rFonts w:ascii="Calibri" w:hAnsi="Calibri" w:cs="Calibri"/>
          <w:bCs/>
        </w:rPr>
        <w:t xml:space="preserve">Zamawiający nie wykonał szczegółowego audytu i nie dysponuje wiedzą na temat konieczności wymiany przewodów zasilających bądź zabezpieczeń. Zamawiający określił zakres zamówienia w </w:t>
      </w:r>
      <w:r w:rsidR="006C0577">
        <w:rPr>
          <w:rFonts w:ascii="Calibri" w:hAnsi="Calibri" w:cs="Calibri"/>
          <w:bCs/>
        </w:rPr>
        <w:t>o</w:t>
      </w:r>
      <w:r w:rsidRPr="00420A87">
        <w:rPr>
          <w:rFonts w:ascii="Calibri" w:hAnsi="Calibri" w:cs="Calibri"/>
          <w:bCs/>
        </w:rPr>
        <w:t xml:space="preserve">pisie </w:t>
      </w:r>
      <w:r w:rsidR="006C0577">
        <w:rPr>
          <w:rFonts w:ascii="Calibri" w:hAnsi="Calibri" w:cs="Calibri"/>
          <w:bCs/>
        </w:rPr>
        <w:t>p</w:t>
      </w:r>
      <w:r w:rsidRPr="00420A87">
        <w:rPr>
          <w:rFonts w:ascii="Calibri" w:hAnsi="Calibri" w:cs="Calibri"/>
          <w:bCs/>
        </w:rPr>
        <w:t xml:space="preserve">rzedmiotu </w:t>
      </w:r>
      <w:r w:rsidR="006C0577">
        <w:rPr>
          <w:rFonts w:ascii="Calibri" w:hAnsi="Calibri" w:cs="Calibri"/>
          <w:bCs/>
        </w:rPr>
        <w:t>z</w:t>
      </w:r>
      <w:r w:rsidRPr="00420A87">
        <w:rPr>
          <w:rFonts w:ascii="Calibri" w:hAnsi="Calibri" w:cs="Calibri"/>
          <w:bCs/>
        </w:rPr>
        <w:t>amówienia oraz projektowanych postanowieniach umowy. Zamawiający oczekuje realizacji zadania w sposób zgodny z obowiązującymi normami.</w:t>
      </w:r>
    </w:p>
    <w:p w14:paraId="51AA2B6F" w14:textId="77777777" w:rsidR="007D1E8F" w:rsidRPr="003B7730" w:rsidRDefault="007D1E8F" w:rsidP="00936444">
      <w:pPr>
        <w:pStyle w:val="Akapitzlist"/>
        <w:spacing w:line="276" w:lineRule="auto"/>
        <w:rPr>
          <w:rFonts w:ascii="Calibri" w:hAnsi="Calibri" w:cs="Calibri"/>
          <w:bCs/>
        </w:rPr>
      </w:pPr>
    </w:p>
    <w:p w14:paraId="4A47B768" w14:textId="7CA9605B" w:rsidR="00BE31FE" w:rsidRPr="003B7730" w:rsidRDefault="00BE31FE" w:rsidP="00936444">
      <w:pPr>
        <w:pStyle w:val="Akapitzlist"/>
        <w:numPr>
          <w:ilvl w:val="0"/>
          <w:numId w:val="1"/>
        </w:numPr>
        <w:spacing w:line="276" w:lineRule="auto"/>
        <w:rPr>
          <w:rFonts w:ascii="Calibri" w:hAnsi="Calibri" w:cs="Calibri"/>
          <w:bCs/>
        </w:rPr>
      </w:pPr>
      <w:r w:rsidRPr="003B7730">
        <w:rPr>
          <w:rFonts w:ascii="Calibri" w:hAnsi="Calibri" w:cs="Calibri"/>
          <w:bCs/>
        </w:rPr>
        <w:t>Czy zamówienie ma obejmować sterowniki, czy jedynie oprawy mają być przystosowane do możliwości zainstalowania sterowników w przyszłości?</w:t>
      </w:r>
    </w:p>
    <w:p w14:paraId="736E3DC8" w14:textId="77777777" w:rsidR="00687E3D" w:rsidRPr="003B7730" w:rsidRDefault="00687E3D" w:rsidP="00936444">
      <w:pPr>
        <w:pStyle w:val="Akapitzlist"/>
        <w:spacing w:line="276" w:lineRule="auto"/>
        <w:rPr>
          <w:rFonts w:ascii="Calibri" w:hAnsi="Calibri" w:cs="Calibri"/>
          <w:bCs/>
        </w:rPr>
      </w:pPr>
    </w:p>
    <w:p w14:paraId="5345C28D" w14:textId="21D7EB65" w:rsidR="00BE31FE" w:rsidRPr="00936444" w:rsidRDefault="00BE31FE" w:rsidP="00936444">
      <w:pPr>
        <w:pStyle w:val="Akapitzlist"/>
        <w:spacing w:line="276" w:lineRule="auto"/>
        <w:rPr>
          <w:rFonts w:ascii="Calibri" w:hAnsi="Calibri" w:cs="Calibri"/>
          <w:bCs/>
        </w:rPr>
      </w:pPr>
      <w:r w:rsidRPr="003B7730">
        <w:rPr>
          <w:rFonts w:ascii="Calibri" w:hAnsi="Calibri" w:cs="Calibri"/>
          <w:bCs/>
        </w:rPr>
        <w:t>Odpowiedź</w:t>
      </w:r>
      <w:r w:rsidR="00687E3D" w:rsidRPr="003B7730">
        <w:rPr>
          <w:rFonts w:ascii="Calibri" w:hAnsi="Calibri" w:cs="Calibri"/>
          <w:bCs/>
        </w:rPr>
        <w:t>:</w:t>
      </w:r>
    </w:p>
    <w:p w14:paraId="74689FC9" w14:textId="66750878" w:rsidR="00541C1E" w:rsidRDefault="007D1E8F" w:rsidP="00936444">
      <w:pPr>
        <w:pStyle w:val="Akapitzlist"/>
        <w:spacing w:line="276" w:lineRule="auto"/>
        <w:rPr>
          <w:rFonts w:ascii="Calibri" w:hAnsi="Calibri" w:cs="Calibri"/>
          <w:bCs/>
        </w:rPr>
      </w:pPr>
      <w:r w:rsidRPr="007D1E8F">
        <w:rPr>
          <w:rFonts w:ascii="Calibri" w:hAnsi="Calibri" w:cs="Calibri"/>
          <w:bCs/>
        </w:rPr>
        <w:t xml:space="preserve">Zamawiający </w:t>
      </w:r>
      <w:r w:rsidR="00D56FD0">
        <w:rPr>
          <w:rFonts w:ascii="Calibri" w:hAnsi="Calibri" w:cs="Calibri"/>
          <w:bCs/>
        </w:rPr>
        <w:t xml:space="preserve">oczekuje  zapewniania  </w:t>
      </w:r>
      <w:r w:rsidR="00D56FD0" w:rsidRPr="00D56FD0">
        <w:rPr>
          <w:rFonts w:ascii="Calibri" w:hAnsi="Calibri" w:cs="Calibri"/>
          <w:bCs/>
        </w:rPr>
        <w:t>gwarancji możliwości zdalnego sterowania bez dodatkowej modyfikacji oprawy potwierdzone poprzez moduł zdalnego sterowania oprawy zabudowany w gnieździe Zhaga Book 18 oprawy (nie dopuszcza się stosowania zaślepki do górnego gniazda oprawy) o n parametrach</w:t>
      </w:r>
      <w:r w:rsidR="00D56FD0">
        <w:rPr>
          <w:rFonts w:ascii="Calibri" w:hAnsi="Calibri" w:cs="Calibri"/>
          <w:bCs/>
        </w:rPr>
        <w:t xml:space="preserve"> opisanych w  opisie  przedmiotu zamówienia. </w:t>
      </w:r>
    </w:p>
    <w:p w14:paraId="23E1A20A" w14:textId="77777777" w:rsidR="00541C1E" w:rsidRDefault="00541C1E" w:rsidP="00936444">
      <w:pPr>
        <w:pStyle w:val="Akapitzlist"/>
        <w:spacing w:line="276" w:lineRule="auto"/>
        <w:rPr>
          <w:rFonts w:ascii="Calibri" w:hAnsi="Calibri" w:cs="Calibri"/>
          <w:bCs/>
        </w:rPr>
      </w:pPr>
    </w:p>
    <w:p w14:paraId="2ECF0052" w14:textId="77777777" w:rsidR="00541C1E" w:rsidRPr="00483315" w:rsidRDefault="00541C1E" w:rsidP="00936444">
      <w:pPr>
        <w:pStyle w:val="Akapitzlist"/>
        <w:spacing w:line="276" w:lineRule="auto"/>
        <w:rPr>
          <w:rFonts w:ascii="Calibri" w:hAnsi="Calibri" w:cs="Calibri"/>
          <w:bCs/>
        </w:rPr>
      </w:pPr>
    </w:p>
    <w:p w14:paraId="23E0FF40" w14:textId="65701E37" w:rsidR="00541C1E" w:rsidRPr="00483315" w:rsidRDefault="00541C1E" w:rsidP="00541C1E">
      <w:pPr>
        <w:pStyle w:val="Akapitzlist"/>
        <w:numPr>
          <w:ilvl w:val="0"/>
          <w:numId w:val="4"/>
        </w:numPr>
        <w:spacing w:line="259" w:lineRule="auto"/>
        <w:rPr>
          <w:rFonts w:ascii="Calibri" w:hAnsi="Calibri" w:cs="Calibri"/>
          <w:b/>
          <w:u w:val="single"/>
        </w:rPr>
      </w:pPr>
      <w:r w:rsidRPr="00483315">
        <w:rPr>
          <w:rFonts w:ascii="Calibri" w:hAnsi="Calibri" w:cs="Calibri"/>
          <w:b/>
          <w:u w:val="single"/>
        </w:rPr>
        <w:t xml:space="preserve">Zgodnie z art.  137 ust. 1 ustawy  Zamawiający dokonuje zmiany </w:t>
      </w:r>
      <w:r w:rsidR="00FC01C0" w:rsidRPr="00483315">
        <w:rPr>
          <w:rFonts w:ascii="Calibri" w:hAnsi="Calibri" w:cs="Calibri"/>
          <w:b/>
          <w:u w:val="single"/>
        </w:rPr>
        <w:t xml:space="preserve">w treści </w:t>
      </w:r>
      <w:r w:rsidRPr="00483315">
        <w:rPr>
          <w:rFonts w:ascii="Calibri" w:hAnsi="Calibri" w:cs="Calibri"/>
          <w:b/>
          <w:u w:val="single"/>
        </w:rPr>
        <w:t xml:space="preserve">SWZ </w:t>
      </w:r>
    </w:p>
    <w:p w14:paraId="405BFC0B" w14:textId="1943FEA5" w:rsidR="00541C1E" w:rsidRPr="00483315" w:rsidRDefault="00541C1E" w:rsidP="00541C1E">
      <w:pPr>
        <w:spacing w:line="276" w:lineRule="auto"/>
        <w:rPr>
          <w:rFonts w:ascii="Calibri" w:hAnsi="Calibri" w:cs="Calibri"/>
          <w:bCs/>
        </w:rPr>
      </w:pPr>
      <w:r w:rsidRPr="00483315">
        <w:rPr>
          <w:rFonts w:ascii="Calibri" w:hAnsi="Calibri" w:cs="Calibri"/>
          <w:bCs/>
        </w:rPr>
        <w:t>Zamawiający dokonuje sprostowania dotyczącego sposobu  przyznania  punktów w  kryterium  okres gwarancji, punkt 3 rozdziału XVII</w:t>
      </w:r>
      <w:r w:rsidR="00FC01C0" w:rsidRPr="00483315">
        <w:rPr>
          <w:rFonts w:ascii="Calibri" w:hAnsi="Calibri" w:cs="Calibri"/>
          <w:bCs/>
        </w:rPr>
        <w:t>I</w:t>
      </w:r>
      <w:r w:rsidRPr="00483315">
        <w:rPr>
          <w:rFonts w:ascii="Calibri" w:hAnsi="Calibri" w:cs="Calibri"/>
          <w:bCs/>
        </w:rPr>
        <w:t xml:space="preserve">  SWZ otrzymuje  brzmienie:   </w:t>
      </w:r>
    </w:p>
    <w:p w14:paraId="06442B6E" w14:textId="77777777" w:rsidR="00D863BE" w:rsidRPr="00483315" w:rsidRDefault="00D863BE" w:rsidP="00541C1E">
      <w:pPr>
        <w:spacing w:line="259" w:lineRule="auto"/>
        <w:rPr>
          <w:rFonts w:ascii="Calibri" w:eastAsia="Times New Roman" w:hAnsi="Calibri" w:cs="Calibri"/>
          <w:b/>
          <w:noProof/>
          <w:lang w:eastAsia="pl-PL"/>
        </w:rPr>
      </w:pPr>
      <w:r w:rsidRPr="00483315">
        <w:rPr>
          <w:rFonts w:ascii="Calibri" w:hAnsi="Calibri" w:cs="Calibri"/>
          <w:b/>
        </w:rPr>
        <w:t xml:space="preserve">Kryterium II:  </w:t>
      </w:r>
      <w:r w:rsidRPr="00483315">
        <w:rPr>
          <w:rFonts w:ascii="Calibri" w:eastAsia="Times New Roman" w:hAnsi="Calibri" w:cs="Calibri"/>
          <w:b/>
          <w:noProof/>
          <w:lang w:eastAsia="pl-PL"/>
        </w:rPr>
        <w:t xml:space="preserve">Sposób przyznania punktów dla kryterium – </w:t>
      </w:r>
      <w:bookmarkStart w:id="1" w:name="_Hlk172286808"/>
      <w:r w:rsidRPr="00483315">
        <w:rPr>
          <w:rFonts w:ascii="Calibri" w:eastAsia="Times New Roman" w:hAnsi="Calibri" w:cs="Calibri"/>
          <w:b/>
          <w:noProof/>
          <w:lang w:eastAsia="pl-PL"/>
        </w:rPr>
        <w:t xml:space="preserve">okres gwarancji </w:t>
      </w:r>
      <w:bookmarkEnd w:id="1"/>
      <w:r w:rsidRPr="00483315">
        <w:rPr>
          <w:rFonts w:ascii="Calibri" w:eastAsia="Times New Roman" w:hAnsi="Calibri" w:cs="Calibri"/>
          <w:b/>
          <w:noProof/>
          <w:lang w:eastAsia="pl-PL"/>
        </w:rPr>
        <w:t xml:space="preserve">(G), max 40 punktów. </w:t>
      </w:r>
    </w:p>
    <w:p w14:paraId="0042C9B8" w14:textId="77777777" w:rsidR="00D863BE" w:rsidRPr="00483315" w:rsidRDefault="00D863BE" w:rsidP="00541C1E">
      <w:pPr>
        <w:pStyle w:val="Teksttreci0"/>
        <w:spacing w:line="276" w:lineRule="auto"/>
        <w:jc w:val="left"/>
        <w:rPr>
          <w:rFonts w:ascii="Calibri" w:hAnsi="Calibri" w:cs="Calibri"/>
        </w:rPr>
      </w:pPr>
      <w:r w:rsidRPr="00483315">
        <w:rPr>
          <w:rFonts w:ascii="Calibri" w:hAnsi="Calibri" w:cs="Calibri"/>
        </w:rPr>
        <w:t>Kryterium „</w:t>
      </w:r>
      <w:r w:rsidRPr="00483315">
        <w:rPr>
          <w:rFonts w:ascii="Calibri" w:eastAsia="Times New Roman" w:hAnsi="Calibri" w:cs="Calibri"/>
          <w:b/>
          <w:noProof/>
        </w:rPr>
        <w:t>okres gwarancji</w:t>
      </w:r>
      <w:r w:rsidRPr="00483315">
        <w:rPr>
          <w:rFonts w:ascii="Calibri" w:hAnsi="Calibri" w:cs="Calibri"/>
        </w:rPr>
        <w:t xml:space="preserve">” będzie rozpatrywane na podstawie informacji podanej przez Wykonawcę w Formularzu  Oferty. </w:t>
      </w:r>
    </w:p>
    <w:p w14:paraId="1D415882" w14:textId="77777777" w:rsidR="00D863BE" w:rsidRPr="00483315" w:rsidRDefault="00D863BE" w:rsidP="00541C1E">
      <w:pPr>
        <w:pStyle w:val="Teksttreci0"/>
        <w:spacing w:line="276" w:lineRule="auto"/>
        <w:jc w:val="left"/>
        <w:rPr>
          <w:rFonts w:ascii="Calibri" w:hAnsi="Calibri" w:cs="Calibri"/>
        </w:rPr>
      </w:pPr>
      <w:r w:rsidRPr="00483315">
        <w:rPr>
          <w:rFonts w:ascii="Calibri" w:hAnsi="Calibri" w:cs="Calibri"/>
        </w:rPr>
        <w:t>W tym kryterium można uzyskać maksymalnie 40 punktów. Przyznane punkty zostaną zaokrąglone do dwóch miejsc po przecinku.</w:t>
      </w:r>
    </w:p>
    <w:p w14:paraId="1E80CF23" w14:textId="77777777" w:rsidR="00D863BE" w:rsidRPr="00483315" w:rsidRDefault="00D863BE" w:rsidP="00541C1E">
      <w:pPr>
        <w:pStyle w:val="Teksttreci0"/>
        <w:spacing w:line="276" w:lineRule="auto"/>
        <w:jc w:val="left"/>
        <w:rPr>
          <w:rFonts w:ascii="Calibri" w:hAnsi="Calibri" w:cs="Calibri"/>
        </w:rPr>
      </w:pPr>
      <w:r w:rsidRPr="00483315">
        <w:rPr>
          <w:rFonts w:ascii="Calibri" w:hAnsi="Calibri" w:cs="Calibri"/>
        </w:rPr>
        <w:t>Liczba punktów w kryterium „</w:t>
      </w:r>
      <w:r w:rsidRPr="00483315">
        <w:rPr>
          <w:rFonts w:ascii="Calibri" w:eastAsia="Times New Roman" w:hAnsi="Calibri" w:cs="Calibri"/>
          <w:b/>
          <w:noProof/>
        </w:rPr>
        <w:t>okres gwarancji</w:t>
      </w:r>
      <w:r w:rsidRPr="00483315">
        <w:rPr>
          <w:rFonts w:ascii="Calibri" w:hAnsi="Calibri" w:cs="Calibri"/>
        </w:rPr>
        <w:t>” zostanie obliczona według następującego wzoru:</w:t>
      </w:r>
    </w:p>
    <w:p w14:paraId="4E972677" w14:textId="77777777" w:rsidR="00D863BE" w:rsidRPr="00483315" w:rsidRDefault="00D863BE" w:rsidP="00D863BE">
      <w:pPr>
        <w:pStyle w:val="Teksttreci0"/>
        <w:spacing w:line="276" w:lineRule="auto"/>
        <w:ind w:left="1983"/>
        <w:jc w:val="left"/>
        <w:rPr>
          <w:rFonts w:ascii="Calibri" w:hAnsi="Calibri" w:cs="Calibri"/>
        </w:rPr>
      </w:pPr>
      <w:r w:rsidRPr="00483315">
        <w:rPr>
          <w:rFonts w:ascii="Calibri" w:hAnsi="Calibri" w:cs="Calibri"/>
        </w:rPr>
        <w:t>G = Go/Gmax x 40 pkt</w:t>
      </w:r>
    </w:p>
    <w:p w14:paraId="17AB7847" w14:textId="77777777" w:rsidR="00D863BE" w:rsidRPr="00483315" w:rsidRDefault="00D863BE" w:rsidP="00D863BE">
      <w:pPr>
        <w:pStyle w:val="Teksttreci0"/>
        <w:tabs>
          <w:tab w:val="left" w:pos="6797"/>
        </w:tabs>
        <w:spacing w:line="276" w:lineRule="auto"/>
        <w:ind w:left="567"/>
        <w:jc w:val="left"/>
        <w:rPr>
          <w:rFonts w:ascii="Calibri" w:hAnsi="Calibri" w:cs="Calibri"/>
        </w:rPr>
      </w:pPr>
      <w:r w:rsidRPr="00483315">
        <w:rPr>
          <w:rFonts w:ascii="Calibri" w:hAnsi="Calibri" w:cs="Calibri"/>
        </w:rPr>
        <w:t>gdzie:</w:t>
      </w:r>
      <w:r w:rsidRPr="00483315">
        <w:rPr>
          <w:rFonts w:ascii="Calibri" w:hAnsi="Calibri" w:cs="Calibri"/>
        </w:rPr>
        <w:tab/>
      </w:r>
    </w:p>
    <w:p w14:paraId="2831F57D" w14:textId="2E3D6A18" w:rsidR="00D863BE" w:rsidRPr="00483315" w:rsidRDefault="00D863BE" w:rsidP="00D863BE">
      <w:pPr>
        <w:pStyle w:val="Teksttreci0"/>
        <w:spacing w:line="276" w:lineRule="auto"/>
        <w:ind w:left="567"/>
        <w:jc w:val="left"/>
        <w:rPr>
          <w:rFonts w:ascii="Calibri" w:hAnsi="Calibri" w:cs="Calibri"/>
        </w:rPr>
      </w:pPr>
      <w:r w:rsidRPr="00483315">
        <w:rPr>
          <w:rFonts w:ascii="Calibri" w:hAnsi="Calibri" w:cs="Calibri"/>
        </w:rPr>
        <w:t xml:space="preserve">Go - okres gwarancji podany w ofercie ocenianej (liczony w miesiącach,  </w:t>
      </w:r>
      <w:r w:rsidR="00B3250A" w:rsidRPr="00483315">
        <w:rPr>
          <w:rFonts w:ascii="Calibri" w:hAnsi="Calibri" w:cs="Calibri"/>
        </w:rPr>
        <w:t xml:space="preserve">nie </w:t>
      </w:r>
      <w:r w:rsidR="00AE562E" w:rsidRPr="00483315">
        <w:rPr>
          <w:rFonts w:ascii="Calibri" w:hAnsi="Calibri" w:cs="Calibri"/>
        </w:rPr>
        <w:t>krótszy</w:t>
      </w:r>
      <w:r w:rsidR="00B3250A" w:rsidRPr="00483315">
        <w:rPr>
          <w:rFonts w:ascii="Calibri" w:hAnsi="Calibri" w:cs="Calibri"/>
        </w:rPr>
        <w:t xml:space="preserve"> niż </w:t>
      </w:r>
      <w:r w:rsidRPr="00483315">
        <w:rPr>
          <w:rFonts w:ascii="Calibri" w:hAnsi="Calibri" w:cs="Calibri"/>
        </w:rPr>
        <w:t xml:space="preserve"> 61</w:t>
      </w:r>
      <w:r w:rsidR="00541C1E" w:rsidRPr="00483315">
        <w:rPr>
          <w:rFonts w:ascii="Calibri" w:hAnsi="Calibri" w:cs="Calibri"/>
        </w:rPr>
        <w:t xml:space="preserve"> miesięcy</w:t>
      </w:r>
      <w:r w:rsidRPr="00483315">
        <w:rPr>
          <w:rFonts w:ascii="Calibri" w:hAnsi="Calibri" w:cs="Calibri"/>
        </w:rPr>
        <w:t>).</w:t>
      </w:r>
    </w:p>
    <w:p w14:paraId="1FA39102" w14:textId="77777777" w:rsidR="00D863BE" w:rsidRPr="00483315" w:rsidRDefault="00D863BE" w:rsidP="00D863BE">
      <w:pPr>
        <w:pStyle w:val="Teksttreci0"/>
        <w:spacing w:line="276" w:lineRule="auto"/>
        <w:ind w:left="567"/>
        <w:jc w:val="left"/>
        <w:rPr>
          <w:rFonts w:ascii="Calibri" w:hAnsi="Calibri" w:cs="Calibri"/>
        </w:rPr>
      </w:pPr>
      <w:r w:rsidRPr="00483315">
        <w:rPr>
          <w:rFonts w:ascii="Calibri" w:hAnsi="Calibri" w:cs="Calibri"/>
        </w:rPr>
        <w:t>Gmax - najdłuższy okres gwarancji spośród wszystkich ocenianych ofert (liczony</w:t>
      </w:r>
    </w:p>
    <w:p w14:paraId="60FEAFF9" w14:textId="77777777" w:rsidR="00D863BE" w:rsidRPr="00483315" w:rsidRDefault="00D863BE" w:rsidP="00D863BE">
      <w:pPr>
        <w:pStyle w:val="Teksttreci0"/>
        <w:spacing w:line="276" w:lineRule="auto"/>
        <w:ind w:left="567"/>
        <w:jc w:val="left"/>
        <w:rPr>
          <w:rFonts w:ascii="Calibri" w:hAnsi="Calibri" w:cs="Calibri"/>
        </w:rPr>
      </w:pPr>
      <w:r w:rsidRPr="00483315">
        <w:rPr>
          <w:rFonts w:ascii="Calibri" w:hAnsi="Calibri" w:cs="Calibri"/>
        </w:rPr>
        <w:t>w miesiącach, nie dłuży niż 84 miesiące).</w:t>
      </w:r>
    </w:p>
    <w:p w14:paraId="25B1D0C8" w14:textId="77777777" w:rsidR="00D863BE" w:rsidRPr="00483315" w:rsidRDefault="00D863BE" w:rsidP="00D863BE">
      <w:pPr>
        <w:pStyle w:val="Teksttreci0"/>
        <w:spacing w:line="276" w:lineRule="auto"/>
        <w:ind w:left="567"/>
        <w:jc w:val="left"/>
        <w:rPr>
          <w:rFonts w:ascii="Calibri" w:hAnsi="Calibri" w:cs="Calibri"/>
        </w:rPr>
      </w:pPr>
    </w:p>
    <w:p w14:paraId="250A2B0A" w14:textId="6DA6DBAF" w:rsidR="00541C1E" w:rsidRPr="00483315" w:rsidRDefault="00D863BE" w:rsidP="00541C1E">
      <w:pPr>
        <w:pStyle w:val="Teksttreci0"/>
        <w:spacing w:line="276" w:lineRule="auto"/>
        <w:jc w:val="left"/>
        <w:rPr>
          <w:rFonts w:ascii="Calibri" w:hAnsi="Calibri" w:cs="Calibri"/>
        </w:rPr>
      </w:pPr>
      <w:r w:rsidRPr="00483315">
        <w:rPr>
          <w:rFonts w:ascii="Calibri" w:hAnsi="Calibri" w:cs="Calibri"/>
        </w:rPr>
        <w:t>Maksymalny okres gwarancji za jaki Zamawiający będzie przyznawał punkty w tym kryterium wynosi 84 miesiące. W przypadku zaoferowania przez Wykonawcę okresu gwarancji dłuższego niż 84 miesiące, Zamawiający przyzna takiej ofercie liczbę punktów jak za okres gwarancji wynoszący 84 miesiące.</w:t>
      </w:r>
    </w:p>
    <w:p w14:paraId="503F345B" w14:textId="77777777" w:rsidR="00FC01C0" w:rsidRPr="00483315" w:rsidRDefault="00FC01C0" w:rsidP="00541C1E">
      <w:pPr>
        <w:pStyle w:val="Teksttreci0"/>
        <w:spacing w:line="276" w:lineRule="auto"/>
        <w:jc w:val="left"/>
        <w:rPr>
          <w:rFonts w:ascii="Calibri" w:hAnsi="Calibri" w:cs="Calibri"/>
        </w:rPr>
      </w:pPr>
    </w:p>
    <w:p w14:paraId="154F6D8F" w14:textId="00146399" w:rsidR="00FC01C0" w:rsidRPr="00483315" w:rsidRDefault="00D863BE" w:rsidP="00541C1E">
      <w:pPr>
        <w:pStyle w:val="Teksttreci0"/>
        <w:spacing w:line="276" w:lineRule="auto"/>
        <w:jc w:val="left"/>
        <w:rPr>
          <w:rFonts w:ascii="Calibri" w:hAnsi="Calibri" w:cs="Calibri"/>
        </w:rPr>
      </w:pPr>
      <w:r w:rsidRPr="00483315">
        <w:rPr>
          <w:rFonts w:ascii="Calibri" w:hAnsi="Calibri" w:cs="Calibri"/>
        </w:rPr>
        <w:t>Zadeklarowany przez Wykonawcę okres gwarancji nie może być krótszy niż 60 miesięcy i musi zostać zadeklarowany, podany, określony w pełnych miesiącach.</w:t>
      </w:r>
      <w:r w:rsidR="00FC01C0" w:rsidRPr="00483315">
        <w:rPr>
          <w:rFonts w:ascii="Calibri" w:hAnsi="Calibri" w:cs="Calibri"/>
        </w:rPr>
        <w:t xml:space="preserve"> Za wymagany minimalny okres gwarancji tj. 60 miesięcy –  Zamawiający 0 punktów.</w:t>
      </w:r>
    </w:p>
    <w:p w14:paraId="147429B0" w14:textId="5C144860" w:rsidR="00D863BE" w:rsidRPr="00483315" w:rsidRDefault="00D863BE" w:rsidP="00541C1E">
      <w:pPr>
        <w:pStyle w:val="Teksttreci0"/>
        <w:spacing w:line="276" w:lineRule="auto"/>
        <w:jc w:val="left"/>
        <w:rPr>
          <w:rFonts w:ascii="Calibri" w:hAnsi="Calibri" w:cs="Calibri"/>
        </w:rPr>
      </w:pPr>
      <w:r w:rsidRPr="00483315">
        <w:rPr>
          <w:rFonts w:ascii="Calibri" w:hAnsi="Calibri" w:cs="Calibri"/>
        </w:rPr>
        <w:t>W przypadku zadeklarowania przez Wykonawcę okresu gwarancji krótszego niż 60 miesięcy albo niezadeklarowania, niepodania, nieokreślenia przez Wykonawcę okresu gwarancji Zamawiający uzna, że treść oferty nie odpowiada treści SWZ.</w:t>
      </w:r>
    </w:p>
    <w:p w14:paraId="05BEDD80" w14:textId="77777777" w:rsidR="00D863BE" w:rsidRPr="00483315" w:rsidRDefault="00D863BE" w:rsidP="00936444">
      <w:pPr>
        <w:pStyle w:val="Akapitzlist"/>
        <w:spacing w:line="276" w:lineRule="auto"/>
        <w:rPr>
          <w:rFonts w:ascii="Calibri" w:hAnsi="Calibri" w:cs="Calibri"/>
          <w:bCs/>
        </w:rPr>
      </w:pPr>
    </w:p>
    <w:p w14:paraId="701E95C7" w14:textId="77777777" w:rsidR="00BE31FE" w:rsidRPr="00483315" w:rsidRDefault="00BE31FE" w:rsidP="00936444">
      <w:pPr>
        <w:pStyle w:val="Akapitzlist"/>
        <w:spacing w:line="276" w:lineRule="auto"/>
        <w:rPr>
          <w:rFonts w:ascii="Calibri" w:hAnsi="Calibri" w:cs="Calibri"/>
          <w:bCs/>
        </w:rPr>
      </w:pPr>
    </w:p>
    <w:sectPr w:rsidR="00BE31FE" w:rsidRPr="004833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6FEAD" w14:textId="77777777" w:rsidR="00787618" w:rsidRDefault="00787618" w:rsidP="00BF47FF">
      <w:pPr>
        <w:spacing w:after="0" w:line="240" w:lineRule="auto"/>
      </w:pPr>
      <w:r>
        <w:separator/>
      </w:r>
    </w:p>
  </w:endnote>
  <w:endnote w:type="continuationSeparator" w:id="0">
    <w:p w14:paraId="606B461B" w14:textId="77777777" w:rsidR="00787618" w:rsidRDefault="00787618" w:rsidP="00BF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3958" w14:textId="77777777" w:rsidR="00787618" w:rsidRDefault="00787618" w:rsidP="00BF47FF">
      <w:pPr>
        <w:spacing w:after="0" w:line="240" w:lineRule="auto"/>
      </w:pPr>
      <w:r>
        <w:separator/>
      </w:r>
    </w:p>
  </w:footnote>
  <w:footnote w:type="continuationSeparator" w:id="0">
    <w:p w14:paraId="76F9FADF" w14:textId="77777777" w:rsidR="00787618" w:rsidRDefault="00787618" w:rsidP="00BF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E6C03"/>
    <w:multiLevelType w:val="hybridMultilevel"/>
    <w:tmpl w:val="C6C06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DDD60FF"/>
    <w:multiLevelType w:val="hybridMultilevel"/>
    <w:tmpl w:val="0D943A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49A6E82"/>
    <w:multiLevelType w:val="hybridMultilevel"/>
    <w:tmpl w:val="2CAAE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A83514"/>
    <w:multiLevelType w:val="multilevel"/>
    <w:tmpl w:val="AB7C55F0"/>
    <w:lvl w:ilvl="0">
      <w:start w:val="1"/>
      <w:numFmt w:val="decimal"/>
      <w:lvlText w:val="%1."/>
      <w:lvlJc w:val="left"/>
      <w:pPr>
        <w:ind w:left="502" w:hanging="360"/>
      </w:pPr>
      <w:rPr>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16cid:durableId="2004384536">
    <w:abstractNumId w:val="2"/>
  </w:num>
  <w:num w:numId="2" w16cid:durableId="1980180877">
    <w:abstractNumId w:val="3"/>
  </w:num>
  <w:num w:numId="3" w16cid:durableId="1713171">
    <w:abstractNumId w:val="1"/>
  </w:num>
  <w:num w:numId="4" w16cid:durableId="29413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85"/>
    <w:rsid w:val="00036870"/>
    <w:rsid w:val="001138E7"/>
    <w:rsid w:val="00147326"/>
    <w:rsid w:val="001A1617"/>
    <w:rsid w:val="001E281C"/>
    <w:rsid w:val="00201859"/>
    <w:rsid w:val="002157EB"/>
    <w:rsid w:val="00222F86"/>
    <w:rsid w:val="00287A7D"/>
    <w:rsid w:val="003A1A9B"/>
    <w:rsid w:val="003B7730"/>
    <w:rsid w:val="00420A87"/>
    <w:rsid w:val="00423350"/>
    <w:rsid w:val="00433418"/>
    <w:rsid w:val="00483315"/>
    <w:rsid w:val="00494BC1"/>
    <w:rsid w:val="00494CDB"/>
    <w:rsid w:val="004E4C26"/>
    <w:rsid w:val="00541C1E"/>
    <w:rsid w:val="00553C3E"/>
    <w:rsid w:val="005D393B"/>
    <w:rsid w:val="006133B3"/>
    <w:rsid w:val="00665686"/>
    <w:rsid w:val="00681E2E"/>
    <w:rsid w:val="00687E3D"/>
    <w:rsid w:val="006C0577"/>
    <w:rsid w:val="00700225"/>
    <w:rsid w:val="00730457"/>
    <w:rsid w:val="00740FDA"/>
    <w:rsid w:val="00787618"/>
    <w:rsid w:val="007A3CDF"/>
    <w:rsid w:val="007D1E8F"/>
    <w:rsid w:val="008A34D8"/>
    <w:rsid w:val="00910883"/>
    <w:rsid w:val="00936444"/>
    <w:rsid w:val="009420F0"/>
    <w:rsid w:val="009457C4"/>
    <w:rsid w:val="009D6F36"/>
    <w:rsid w:val="00A053FE"/>
    <w:rsid w:val="00AB7585"/>
    <w:rsid w:val="00AD1D92"/>
    <w:rsid w:val="00AE562E"/>
    <w:rsid w:val="00AF7851"/>
    <w:rsid w:val="00B21BB4"/>
    <w:rsid w:val="00B25B60"/>
    <w:rsid w:val="00B26B21"/>
    <w:rsid w:val="00B3250A"/>
    <w:rsid w:val="00BC4A72"/>
    <w:rsid w:val="00BE31FE"/>
    <w:rsid w:val="00BF47FF"/>
    <w:rsid w:val="00C002A5"/>
    <w:rsid w:val="00C10130"/>
    <w:rsid w:val="00C32829"/>
    <w:rsid w:val="00D53C25"/>
    <w:rsid w:val="00D56FD0"/>
    <w:rsid w:val="00D863BE"/>
    <w:rsid w:val="00DF45A5"/>
    <w:rsid w:val="00E25266"/>
    <w:rsid w:val="00FA6674"/>
    <w:rsid w:val="00FC0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56FF"/>
  <w15:chartTrackingRefBased/>
  <w15:docId w15:val="{21504F84-E950-4E9E-A572-6E3DDFD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7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B7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B758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B758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B758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B75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B75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B75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B75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758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B758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B758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B758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B758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B75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B75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B75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B7585"/>
    <w:rPr>
      <w:rFonts w:eastAsiaTheme="majorEastAsia" w:cstheme="majorBidi"/>
      <w:color w:val="272727" w:themeColor="text1" w:themeTint="D8"/>
    </w:rPr>
  </w:style>
  <w:style w:type="paragraph" w:styleId="Tytu">
    <w:name w:val="Title"/>
    <w:basedOn w:val="Normalny"/>
    <w:next w:val="Normalny"/>
    <w:link w:val="TytuZnak"/>
    <w:uiPriority w:val="10"/>
    <w:qFormat/>
    <w:rsid w:val="00AB7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B758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B758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B75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B7585"/>
    <w:pPr>
      <w:spacing w:before="160"/>
      <w:jc w:val="center"/>
    </w:pPr>
    <w:rPr>
      <w:i/>
      <w:iCs/>
      <w:color w:val="404040" w:themeColor="text1" w:themeTint="BF"/>
    </w:rPr>
  </w:style>
  <w:style w:type="character" w:customStyle="1" w:styleId="CytatZnak">
    <w:name w:val="Cytat Znak"/>
    <w:basedOn w:val="Domylnaczcionkaakapitu"/>
    <w:link w:val="Cytat"/>
    <w:uiPriority w:val="29"/>
    <w:rsid w:val="00AB7585"/>
    <w:rPr>
      <w:i/>
      <w:iCs/>
      <w:color w:val="404040" w:themeColor="text1" w:themeTint="BF"/>
    </w:rPr>
  </w:style>
  <w:style w:type="paragraph" w:styleId="Akapitzlist">
    <w:name w:val="List Paragraph"/>
    <w:aliases w:val="Odstavec,CW_Lista,wypunktowanie,Nag 1,Wypunktowanie,List Paragraph1,L1,Numerowanie,Akapit z listą5"/>
    <w:basedOn w:val="Normalny"/>
    <w:link w:val="AkapitzlistZnak"/>
    <w:uiPriority w:val="34"/>
    <w:qFormat/>
    <w:rsid w:val="00AB7585"/>
    <w:pPr>
      <w:ind w:left="720"/>
      <w:contextualSpacing/>
    </w:pPr>
  </w:style>
  <w:style w:type="character" w:styleId="Wyrnienieintensywne">
    <w:name w:val="Intense Emphasis"/>
    <w:basedOn w:val="Domylnaczcionkaakapitu"/>
    <w:uiPriority w:val="21"/>
    <w:qFormat/>
    <w:rsid w:val="00AB7585"/>
    <w:rPr>
      <w:i/>
      <w:iCs/>
      <w:color w:val="0F4761" w:themeColor="accent1" w:themeShade="BF"/>
    </w:rPr>
  </w:style>
  <w:style w:type="paragraph" w:styleId="Cytatintensywny">
    <w:name w:val="Intense Quote"/>
    <w:basedOn w:val="Normalny"/>
    <w:next w:val="Normalny"/>
    <w:link w:val="CytatintensywnyZnak"/>
    <w:uiPriority w:val="30"/>
    <w:qFormat/>
    <w:rsid w:val="00AB7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B7585"/>
    <w:rPr>
      <w:i/>
      <w:iCs/>
      <w:color w:val="0F4761" w:themeColor="accent1" w:themeShade="BF"/>
    </w:rPr>
  </w:style>
  <w:style w:type="character" w:styleId="Odwoanieintensywne">
    <w:name w:val="Intense Reference"/>
    <w:basedOn w:val="Domylnaczcionkaakapitu"/>
    <w:uiPriority w:val="32"/>
    <w:qFormat/>
    <w:rsid w:val="00AB7585"/>
    <w:rPr>
      <w:b/>
      <w:bCs/>
      <w:smallCaps/>
      <w:color w:val="0F4761" w:themeColor="accent1" w:themeShade="BF"/>
      <w:spacing w:val="5"/>
    </w:rPr>
  </w:style>
  <w:style w:type="paragraph" w:customStyle="1" w:styleId="Standard">
    <w:name w:val="Standard"/>
    <w:rsid w:val="00AB7585"/>
    <w:pPr>
      <w:suppressAutoHyphens/>
      <w:autoSpaceDN w:val="0"/>
      <w:spacing w:after="200" w:line="276" w:lineRule="auto"/>
      <w:textAlignment w:val="baseline"/>
    </w:pPr>
    <w:rPr>
      <w:rFonts w:ascii="Calibri" w:eastAsia="Calibri" w:hAnsi="Calibri" w:cs="Times New Roman"/>
      <w:kern w:val="3"/>
      <w:sz w:val="22"/>
      <w:szCs w:val="22"/>
      <w:lang w:eastAsia="zh-CN"/>
      <w14:ligatures w14:val="none"/>
    </w:rPr>
  </w:style>
  <w:style w:type="paragraph" w:styleId="Tekstprzypisudolnego">
    <w:name w:val="footnote text"/>
    <w:basedOn w:val="Normalny"/>
    <w:link w:val="TekstprzypisudolnegoZnak"/>
    <w:uiPriority w:val="99"/>
    <w:semiHidden/>
    <w:unhideWhenUsed/>
    <w:rsid w:val="00BF47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7FF"/>
    <w:rPr>
      <w:sz w:val="20"/>
      <w:szCs w:val="20"/>
    </w:rPr>
  </w:style>
  <w:style w:type="character" w:styleId="Odwoanieprzypisudolnego">
    <w:name w:val="footnote reference"/>
    <w:basedOn w:val="Domylnaczcionkaakapitu"/>
    <w:uiPriority w:val="99"/>
    <w:semiHidden/>
    <w:unhideWhenUsed/>
    <w:rsid w:val="00BF47FF"/>
    <w:rPr>
      <w:vertAlign w:val="superscript"/>
    </w:rPr>
  </w:style>
  <w:style w:type="character" w:customStyle="1" w:styleId="Teksttreci">
    <w:name w:val="Tekst treści_"/>
    <w:link w:val="Teksttreci0"/>
    <w:rsid w:val="00D863BE"/>
    <w:rPr>
      <w:rFonts w:ascii="Cambria" w:eastAsia="Cambria" w:hAnsi="Cambria" w:cs="Cambria"/>
      <w:shd w:val="clear" w:color="auto" w:fill="FFFFFF"/>
    </w:rPr>
  </w:style>
  <w:style w:type="paragraph" w:customStyle="1" w:styleId="Teksttreci0">
    <w:name w:val="Tekst treści"/>
    <w:basedOn w:val="Normalny"/>
    <w:link w:val="Teksttreci"/>
    <w:rsid w:val="00D863BE"/>
    <w:pPr>
      <w:widowControl w:val="0"/>
      <w:shd w:val="clear" w:color="auto" w:fill="FFFFFF"/>
      <w:spacing w:after="0" w:line="240" w:lineRule="auto"/>
      <w:jc w:val="both"/>
    </w:pPr>
    <w:rPr>
      <w:rFonts w:ascii="Cambria" w:eastAsia="Cambria" w:hAnsi="Cambria" w:cs="Cambria"/>
    </w:rPr>
  </w:style>
  <w:style w:type="character" w:customStyle="1" w:styleId="AkapitzlistZnak">
    <w:name w:val="Akapit z listą Znak"/>
    <w:aliases w:val="Odstavec Znak,CW_Lista Znak,wypunktowanie Znak,Nag 1 Znak,Wypunktowanie Znak,List Paragraph1 Znak,L1 Znak,Numerowanie Znak,Akapit z listą5 Znak"/>
    <w:link w:val="Akapitzlist"/>
    <w:uiPriority w:val="34"/>
    <w:qFormat/>
    <w:rsid w:val="0054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174">
      <w:bodyDiv w:val="1"/>
      <w:marLeft w:val="0"/>
      <w:marRight w:val="0"/>
      <w:marTop w:val="0"/>
      <w:marBottom w:val="0"/>
      <w:divBdr>
        <w:top w:val="none" w:sz="0" w:space="0" w:color="auto"/>
        <w:left w:val="none" w:sz="0" w:space="0" w:color="auto"/>
        <w:bottom w:val="none" w:sz="0" w:space="0" w:color="auto"/>
        <w:right w:val="none" w:sz="0" w:space="0" w:color="auto"/>
      </w:divBdr>
      <w:divsChild>
        <w:div w:id="1564290555">
          <w:marLeft w:val="-225"/>
          <w:marRight w:val="-225"/>
          <w:marTop w:val="0"/>
          <w:marBottom w:val="0"/>
          <w:divBdr>
            <w:top w:val="none" w:sz="0" w:space="0" w:color="auto"/>
            <w:left w:val="none" w:sz="0" w:space="0" w:color="auto"/>
            <w:bottom w:val="none" w:sz="0" w:space="0" w:color="auto"/>
            <w:right w:val="none" w:sz="0" w:space="0" w:color="auto"/>
          </w:divBdr>
          <w:divsChild>
            <w:div w:id="718699748">
              <w:marLeft w:val="0"/>
              <w:marRight w:val="0"/>
              <w:marTop w:val="0"/>
              <w:marBottom w:val="0"/>
              <w:divBdr>
                <w:top w:val="none" w:sz="0" w:space="0" w:color="auto"/>
                <w:left w:val="none" w:sz="0" w:space="0" w:color="auto"/>
                <w:bottom w:val="none" w:sz="0" w:space="0" w:color="auto"/>
                <w:right w:val="none" w:sz="0" w:space="0" w:color="auto"/>
              </w:divBdr>
              <w:divsChild>
                <w:div w:id="666136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13427020">
      <w:bodyDiv w:val="1"/>
      <w:marLeft w:val="0"/>
      <w:marRight w:val="0"/>
      <w:marTop w:val="0"/>
      <w:marBottom w:val="0"/>
      <w:divBdr>
        <w:top w:val="none" w:sz="0" w:space="0" w:color="auto"/>
        <w:left w:val="none" w:sz="0" w:space="0" w:color="auto"/>
        <w:bottom w:val="none" w:sz="0" w:space="0" w:color="auto"/>
        <w:right w:val="none" w:sz="0" w:space="0" w:color="auto"/>
      </w:divBdr>
    </w:div>
    <w:div w:id="1384332492">
      <w:bodyDiv w:val="1"/>
      <w:marLeft w:val="0"/>
      <w:marRight w:val="0"/>
      <w:marTop w:val="0"/>
      <w:marBottom w:val="0"/>
      <w:divBdr>
        <w:top w:val="none" w:sz="0" w:space="0" w:color="auto"/>
        <w:left w:val="none" w:sz="0" w:space="0" w:color="auto"/>
        <w:bottom w:val="none" w:sz="0" w:space="0" w:color="auto"/>
        <w:right w:val="none" w:sz="0" w:space="0" w:color="auto"/>
      </w:divBdr>
      <w:divsChild>
        <w:div w:id="652762668">
          <w:marLeft w:val="-225"/>
          <w:marRight w:val="-225"/>
          <w:marTop w:val="0"/>
          <w:marBottom w:val="0"/>
          <w:divBdr>
            <w:top w:val="none" w:sz="0" w:space="0" w:color="auto"/>
            <w:left w:val="none" w:sz="0" w:space="0" w:color="auto"/>
            <w:bottom w:val="none" w:sz="0" w:space="0" w:color="auto"/>
            <w:right w:val="none" w:sz="0" w:space="0" w:color="auto"/>
          </w:divBdr>
          <w:divsChild>
            <w:div w:id="2016224460">
              <w:marLeft w:val="0"/>
              <w:marRight w:val="0"/>
              <w:marTop w:val="0"/>
              <w:marBottom w:val="0"/>
              <w:divBdr>
                <w:top w:val="none" w:sz="0" w:space="0" w:color="auto"/>
                <w:left w:val="none" w:sz="0" w:space="0" w:color="auto"/>
                <w:bottom w:val="none" w:sz="0" w:space="0" w:color="auto"/>
                <w:right w:val="none" w:sz="0" w:space="0" w:color="auto"/>
              </w:divBdr>
              <w:divsChild>
                <w:div w:id="17924765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36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8</Pages>
  <Words>2616</Words>
  <Characters>15696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Danuta Dziesińska</cp:lastModifiedBy>
  <cp:revision>20</cp:revision>
  <cp:lastPrinted>2024-08-14T09:49:00Z</cp:lastPrinted>
  <dcterms:created xsi:type="dcterms:W3CDTF">2024-08-13T06:44:00Z</dcterms:created>
  <dcterms:modified xsi:type="dcterms:W3CDTF">2024-08-14T11:00:00Z</dcterms:modified>
</cp:coreProperties>
</file>