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9CF" w14:textId="0ABF3F1B" w:rsidR="00E73F16" w:rsidRPr="006D087A" w:rsidRDefault="00E73F16" w:rsidP="00E73F16">
      <w:pPr>
        <w:rPr>
          <w:rFonts w:cstheme="minorHAnsi"/>
          <w:i/>
          <w:iCs/>
        </w:rPr>
      </w:pPr>
      <w:r>
        <w:t>ZP.271.3.2025.                                                                                             Rokietnica, dnia  2</w:t>
      </w:r>
      <w:r w:rsidR="007A1273">
        <w:t>5</w:t>
      </w:r>
      <w:r>
        <w:t>.03.2025</w:t>
      </w:r>
      <w:r>
        <w:br/>
      </w:r>
      <w:r>
        <w:br/>
      </w:r>
      <w:r w:rsidRPr="006D087A">
        <w:rPr>
          <w:rFonts w:cstheme="minorHAnsi"/>
          <w:i/>
          <w:iCs/>
        </w:rPr>
        <w:t xml:space="preserve">                                                                                                                       Wszyscy uczestnicy postępowania</w:t>
      </w:r>
      <w:r w:rsidRPr="006D087A">
        <w:rPr>
          <w:rFonts w:cstheme="minorHAnsi"/>
          <w:i/>
          <w:iCs/>
        </w:rPr>
        <w:br/>
        <w:t xml:space="preserve">                                                                                                                                   ZP.271.3.2025</w:t>
      </w:r>
    </w:p>
    <w:p w14:paraId="566F1CF6" w14:textId="77777777" w:rsidR="00E73F16" w:rsidRPr="006D087A" w:rsidRDefault="00E73F16" w:rsidP="00E73F16">
      <w:pPr>
        <w:rPr>
          <w:rFonts w:cstheme="minorHAnsi"/>
          <w:i/>
          <w:iCs/>
        </w:rPr>
      </w:pPr>
    </w:p>
    <w:p w14:paraId="7FB6DD22" w14:textId="77777777" w:rsidR="00E73F16" w:rsidRPr="006D087A" w:rsidRDefault="00E73F16" w:rsidP="00E73F16">
      <w:pPr>
        <w:rPr>
          <w:rFonts w:cstheme="minorHAnsi"/>
        </w:rPr>
      </w:pPr>
      <w:r w:rsidRPr="006D087A">
        <w:rPr>
          <w:rFonts w:cstheme="minorHAnsi"/>
        </w:rPr>
        <w:t xml:space="preserve">Dotyczy:  postępowania o udzielenie zamówienia publicznego pn. </w:t>
      </w:r>
      <w:r>
        <w:rPr>
          <w:rFonts w:cstheme="minorHAnsi"/>
        </w:rPr>
        <w:t>„</w:t>
      </w:r>
      <w:r w:rsidRPr="006D087A">
        <w:rPr>
          <w:rFonts w:cstheme="minorHAnsi"/>
        </w:rPr>
        <w:t>Poprawa dostępności Szkoły Podstawowej w Rokietnicy</w:t>
      </w:r>
      <w:r>
        <w:rPr>
          <w:rFonts w:cstheme="minorHAnsi"/>
        </w:rPr>
        <w:t>”</w:t>
      </w:r>
      <w:r w:rsidRPr="006D087A">
        <w:rPr>
          <w:rFonts w:cstheme="minorHAnsi"/>
        </w:rPr>
        <w:t>.</w:t>
      </w:r>
      <w:r w:rsidRPr="006D087A">
        <w:rPr>
          <w:rFonts w:cstheme="minorHAnsi"/>
        </w:rPr>
        <w:br/>
        <w:t xml:space="preserve">Ogłoszenie o zamówieniu Nr 2025/BZP 00119873/01 z dnia 25.02.2025 </w:t>
      </w:r>
      <w:r w:rsidRPr="006D087A">
        <w:rPr>
          <w:rFonts w:cstheme="minorHAnsi"/>
        </w:rPr>
        <w:br/>
      </w:r>
      <w:r w:rsidRPr="006D087A">
        <w:rPr>
          <w:rFonts w:cstheme="minorHAnsi"/>
        </w:rPr>
        <w:br/>
        <w:t>Zamawiając</w:t>
      </w:r>
      <w:r>
        <w:rPr>
          <w:rFonts w:cstheme="minorHAnsi"/>
        </w:rPr>
        <w:t>y  informuje, że do niniejszego postępowania wpłynęły wnioski o wyjaśnienie treści SWZ.</w:t>
      </w:r>
      <w:r w:rsidRPr="006D087A">
        <w:rPr>
          <w:rFonts w:cstheme="minorHAnsi"/>
        </w:rPr>
        <w:br/>
        <w:t>Działając na podstawie art. 284 ust.</w:t>
      </w:r>
      <w:r>
        <w:rPr>
          <w:rFonts w:cstheme="minorHAnsi"/>
        </w:rPr>
        <w:t xml:space="preserve"> 2 </w:t>
      </w:r>
      <w:r w:rsidRPr="006D087A">
        <w:rPr>
          <w:rFonts w:cstheme="minorHAnsi"/>
        </w:rPr>
        <w:t xml:space="preserve"> ustawy z dnia 11 września 2019r. </w:t>
      </w:r>
      <w:r>
        <w:rPr>
          <w:rFonts w:cstheme="minorHAnsi"/>
        </w:rPr>
        <w:t xml:space="preserve">Prawo Zamówień Publicznych </w:t>
      </w:r>
      <w:r w:rsidRPr="006D087A">
        <w:rPr>
          <w:rFonts w:cstheme="minorHAnsi"/>
        </w:rPr>
        <w:t>poniżej przesyłamy treść</w:t>
      </w:r>
      <w:r>
        <w:rPr>
          <w:rFonts w:cstheme="minorHAnsi"/>
        </w:rPr>
        <w:t xml:space="preserve"> wniosku </w:t>
      </w:r>
      <w:r w:rsidRPr="006D087A">
        <w:rPr>
          <w:rFonts w:cstheme="minorHAnsi"/>
        </w:rPr>
        <w:t xml:space="preserve"> wraz z udzielonymi odpowiedziami.</w:t>
      </w:r>
    </w:p>
    <w:p w14:paraId="4775DDDA" w14:textId="2C768C2F" w:rsidR="00C870E8" w:rsidRPr="00F3700C" w:rsidRDefault="00C870E8" w:rsidP="00C870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00C">
        <w:rPr>
          <w:rFonts w:ascii="Times New Roman" w:hAnsi="Times New Roman" w:cs="Times New Roman"/>
          <w:b/>
          <w:bCs/>
          <w:sz w:val="24"/>
          <w:szCs w:val="24"/>
        </w:rPr>
        <w:t>Pytanie 18.03.2025 r.</w:t>
      </w:r>
    </w:p>
    <w:p w14:paraId="54B10184" w14:textId="77777777" w:rsidR="00F3700C" w:rsidRPr="009C709D" w:rsidRDefault="00C870E8" w:rsidP="00F3700C">
      <w:pPr>
        <w:spacing w:line="240" w:lineRule="auto"/>
        <w:jc w:val="both"/>
        <w:rPr>
          <w:rFonts w:ascii="Times New Roman" w:hAnsi="Times New Roman" w:cs="Times New Roman"/>
        </w:rPr>
      </w:pPr>
      <w:r w:rsidRPr="00C870E8">
        <w:rPr>
          <w:rFonts w:ascii="Times New Roman" w:hAnsi="Times New Roman" w:cs="Times New Roman"/>
        </w:rPr>
        <w:t>Prosimy o wyjaśnienie rozbieżności pomiędzy przedmiarem a projektem</w:t>
      </w:r>
    </w:p>
    <w:p w14:paraId="0F01CAD4" w14:textId="1C077CB2" w:rsidR="00F3700C" w:rsidRPr="009C709D" w:rsidRDefault="00C870E8" w:rsidP="00F3700C">
      <w:pPr>
        <w:pStyle w:val="Akapitzlist"/>
        <w:numPr>
          <w:ilvl w:val="1"/>
          <w:numId w:val="2"/>
        </w:numPr>
        <w:ind w:left="709" w:hanging="425"/>
        <w:jc w:val="both"/>
        <w:rPr>
          <w:sz w:val="22"/>
          <w:szCs w:val="22"/>
        </w:rPr>
      </w:pPr>
      <w:r w:rsidRPr="009C709D">
        <w:rPr>
          <w:sz w:val="22"/>
          <w:szCs w:val="22"/>
        </w:rPr>
        <w:t>Poz. 29 – w pozycji tej przyjęto m.in.</w:t>
      </w:r>
    </w:p>
    <w:p w14:paraId="0FE5079B" w14:textId="6633AC93" w:rsidR="00F3700C" w:rsidRPr="009C709D" w:rsidRDefault="00C870E8" w:rsidP="00F3700C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9C709D">
        <w:rPr>
          <w:sz w:val="22"/>
          <w:szCs w:val="22"/>
        </w:rPr>
        <w:t>ok. 27 mb ławy 0.6 – tymczasem z rysunku przekroju fundamentów wynika, że ław 30 mb,</w:t>
      </w:r>
    </w:p>
    <w:p w14:paraId="1445B3C0" w14:textId="5FB562AA" w:rsidR="00F3700C" w:rsidRPr="009C709D" w:rsidRDefault="00C870E8" w:rsidP="00F3700C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9C709D">
        <w:rPr>
          <w:sz w:val="22"/>
          <w:szCs w:val="22"/>
        </w:rPr>
        <w:t>ok. 92 mb ławy 0.7 – tymczasem z rysunku przekroju fundamentów wynika, że ław jest</w:t>
      </w:r>
      <w:r w:rsidR="00F3700C" w:rsidRPr="009C709D">
        <w:rPr>
          <w:sz w:val="22"/>
          <w:szCs w:val="22"/>
        </w:rPr>
        <w:t xml:space="preserve"> </w:t>
      </w:r>
      <w:r w:rsidRPr="009C709D">
        <w:rPr>
          <w:sz w:val="22"/>
          <w:szCs w:val="22"/>
        </w:rPr>
        <w:t>152 mb</w:t>
      </w:r>
    </w:p>
    <w:p w14:paraId="439DE2A2" w14:textId="082BA0F0" w:rsidR="00F3700C" w:rsidRPr="009C709D" w:rsidRDefault="00C870E8" w:rsidP="00F3700C">
      <w:pPr>
        <w:pStyle w:val="Akapitzlist"/>
        <w:numPr>
          <w:ilvl w:val="1"/>
          <w:numId w:val="2"/>
        </w:numPr>
        <w:ind w:left="709" w:hanging="425"/>
        <w:jc w:val="both"/>
        <w:rPr>
          <w:sz w:val="22"/>
          <w:szCs w:val="22"/>
        </w:rPr>
      </w:pPr>
      <w:r w:rsidRPr="009C709D">
        <w:rPr>
          <w:sz w:val="22"/>
          <w:szCs w:val="22"/>
        </w:rPr>
        <w:t>Poz. 30 – w pozycji tej przyjęto m.in.</w:t>
      </w:r>
    </w:p>
    <w:p w14:paraId="3C3A8BDC" w14:textId="2F99649D" w:rsidR="00F3700C" w:rsidRPr="009C709D" w:rsidRDefault="00C870E8" w:rsidP="00F3700C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9C709D">
        <w:rPr>
          <w:sz w:val="22"/>
          <w:szCs w:val="22"/>
        </w:rPr>
        <w:t>ok. 65 mb ławy 0.8 – tymczasem z rysunku przekroju fundamentów wynika, że ław jest 29 mb</w:t>
      </w:r>
    </w:p>
    <w:p w14:paraId="50BC5813" w14:textId="15DD9E96" w:rsidR="00F3700C" w:rsidRPr="009C709D" w:rsidRDefault="00C870E8" w:rsidP="00F3700C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9C709D">
        <w:rPr>
          <w:sz w:val="22"/>
          <w:szCs w:val="22"/>
        </w:rPr>
        <w:t>ok. 12,5 mb ławy 0.9 – tymczasem z rysunku przekroju fundamentów wynika, że ław 23 mb</w:t>
      </w:r>
    </w:p>
    <w:p w14:paraId="2C007B9E" w14:textId="295AA78B" w:rsidR="00F3700C" w:rsidRPr="009C709D" w:rsidRDefault="00C870E8" w:rsidP="00F3700C">
      <w:pPr>
        <w:pStyle w:val="Akapitzlist"/>
        <w:numPr>
          <w:ilvl w:val="1"/>
          <w:numId w:val="2"/>
        </w:numPr>
        <w:ind w:left="709" w:hanging="425"/>
        <w:jc w:val="both"/>
        <w:rPr>
          <w:sz w:val="22"/>
          <w:szCs w:val="22"/>
        </w:rPr>
      </w:pPr>
      <w:r w:rsidRPr="009C709D">
        <w:rPr>
          <w:sz w:val="22"/>
          <w:szCs w:val="22"/>
        </w:rPr>
        <w:t>Poz. 31 – w pozycji tej przyjęto m.in.</w:t>
      </w:r>
    </w:p>
    <w:p w14:paraId="20888A39" w14:textId="48EA0F0A" w:rsidR="00F3700C" w:rsidRPr="009C709D" w:rsidRDefault="00C870E8" w:rsidP="00F3700C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9C709D">
        <w:rPr>
          <w:sz w:val="22"/>
          <w:szCs w:val="22"/>
        </w:rPr>
        <w:t>ok. 8 mb ław 0.10 – tymczasem z rysunku przekroju fundamentów wynika, że ław 18,5 mb,</w:t>
      </w:r>
    </w:p>
    <w:p w14:paraId="462AFDDD" w14:textId="77777777" w:rsidR="00F3700C" w:rsidRPr="009C709D" w:rsidRDefault="00C870E8" w:rsidP="00F3700C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9C709D">
        <w:rPr>
          <w:sz w:val="22"/>
          <w:szCs w:val="22"/>
        </w:rPr>
        <w:t>16,5 mb ław 0.15 – tymczasem z rysunku przekroju fundamentów wynika, że ław 20,7 mb</w:t>
      </w:r>
    </w:p>
    <w:p w14:paraId="0DA151DB" w14:textId="4DF3F4AC" w:rsidR="00F3700C" w:rsidRPr="009C709D" w:rsidRDefault="00C870E8" w:rsidP="00F3700C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9C709D">
        <w:rPr>
          <w:sz w:val="22"/>
          <w:szCs w:val="22"/>
        </w:rPr>
        <w:t>ok. 20,5 mb ław 0.16 – tymczasem z rysunku przekroju fundamentów wynika, że ław 27 mb</w:t>
      </w:r>
    </w:p>
    <w:p w14:paraId="220CA2FE" w14:textId="77777777" w:rsidR="00F3700C" w:rsidRPr="009C709D" w:rsidRDefault="00C870E8" w:rsidP="00F3700C">
      <w:pPr>
        <w:pStyle w:val="Akapitzlist"/>
        <w:numPr>
          <w:ilvl w:val="1"/>
          <w:numId w:val="2"/>
        </w:numPr>
        <w:ind w:left="709" w:hanging="425"/>
        <w:jc w:val="both"/>
        <w:rPr>
          <w:sz w:val="22"/>
          <w:szCs w:val="22"/>
        </w:rPr>
      </w:pPr>
      <w:r w:rsidRPr="009C709D">
        <w:rPr>
          <w:sz w:val="22"/>
          <w:szCs w:val="22"/>
        </w:rPr>
        <w:t>Poz. 33 – w pozycji tej przyjęto stopy fundamentowe „0.4” w ilości 5 szt. o wymiarach 2,50 x 1,50 – tymczasem z zestawienia wynika, że stopa ta ma wymiar 2,50 x 2,5</w:t>
      </w:r>
    </w:p>
    <w:p w14:paraId="6C3A499F" w14:textId="2493C1E7" w:rsidR="00C870E8" w:rsidRDefault="00C870E8" w:rsidP="00F3700C">
      <w:pPr>
        <w:pStyle w:val="Akapitzlist"/>
        <w:numPr>
          <w:ilvl w:val="1"/>
          <w:numId w:val="2"/>
        </w:numPr>
        <w:ind w:left="709" w:hanging="425"/>
        <w:jc w:val="both"/>
        <w:rPr>
          <w:sz w:val="22"/>
          <w:szCs w:val="22"/>
        </w:rPr>
      </w:pPr>
      <w:r w:rsidRPr="009C709D">
        <w:rPr>
          <w:sz w:val="22"/>
          <w:szCs w:val="22"/>
        </w:rPr>
        <w:t>Poz. 33 – w pozycji tej przyjęto stopy fundamentowe „inne” w ilości 2 szt. o wymiarach 1,60 x 1,60 – prosimy o informację o jakiej stopie jest mowa, gdyż w zestawieniu taka stopa fundamentowa nie występuje</w:t>
      </w:r>
    </w:p>
    <w:p w14:paraId="16864DFB" w14:textId="77777777" w:rsidR="00B40B6F" w:rsidRDefault="00B40B6F" w:rsidP="00277773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</w:p>
    <w:p w14:paraId="11804AD6" w14:textId="419BF156" w:rsidR="00277773" w:rsidRPr="00021629" w:rsidRDefault="00277773" w:rsidP="00277773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021629">
        <w:rPr>
          <w:rFonts w:ascii="Times New Roman" w:hAnsi="Times New Roman" w:cs="Times New Roman"/>
          <w:b/>
          <w:bCs/>
        </w:rPr>
        <w:t>Odpowiedź:</w:t>
      </w:r>
    </w:p>
    <w:p w14:paraId="3D296C9D" w14:textId="3D7ED3BB" w:rsidR="00277773" w:rsidRPr="00021629" w:rsidRDefault="00277773" w:rsidP="00277773">
      <w:pPr>
        <w:spacing w:after="0"/>
        <w:ind w:left="284"/>
        <w:jc w:val="both"/>
        <w:rPr>
          <w:rFonts w:ascii="Times New Roman" w:hAnsi="Times New Roman" w:cs="Times New Roman"/>
        </w:rPr>
      </w:pPr>
      <w:r w:rsidRPr="00021629">
        <w:rPr>
          <w:rFonts w:ascii="Times New Roman" w:hAnsi="Times New Roman" w:cs="Times New Roman"/>
        </w:rPr>
        <w:t>Różnice w ilościach wynikają z systematyki obliczeń. Ogólna ilość objętości ław fundamentowych jest porównywalna pomiędzy przedmiarem a ilościami wyliczonymi w pytaniu.</w:t>
      </w:r>
    </w:p>
    <w:p w14:paraId="612A8F17" w14:textId="77777777" w:rsidR="00277773" w:rsidRPr="00021629" w:rsidRDefault="00277773" w:rsidP="00277773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AC7F917" w14:textId="07E86F2E" w:rsidR="00277773" w:rsidRPr="00021629" w:rsidRDefault="00277773" w:rsidP="00277773">
      <w:pPr>
        <w:spacing w:after="0"/>
        <w:ind w:left="284"/>
        <w:jc w:val="both"/>
        <w:rPr>
          <w:rFonts w:ascii="Times New Roman" w:hAnsi="Times New Roman" w:cs="Times New Roman"/>
        </w:rPr>
      </w:pPr>
      <w:r w:rsidRPr="00021629">
        <w:rPr>
          <w:rFonts w:ascii="Times New Roman" w:hAnsi="Times New Roman" w:cs="Times New Roman"/>
        </w:rPr>
        <w:t>Ad. 1</w:t>
      </w:r>
      <w:r w:rsidR="00923FFF" w:rsidRPr="00021629">
        <w:rPr>
          <w:rFonts w:ascii="Times New Roman" w:hAnsi="Times New Roman" w:cs="Times New Roman"/>
        </w:rPr>
        <w:t xml:space="preserve"> </w:t>
      </w:r>
      <w:r w:rsidR="00021629" w:rsidRPr="00021629">
        <w:rPr>
          <w:rFonts w:ascii="Times New Roman" w:hAnsi="Times New Roman" w:cs="Times New Roman"/>
        </w:rPr>
        <w:t>Rysunki wraz z przedmiarami należy rozpatrywać łącznie.</w:t>
      </w:r>
    </w:p>
    <w:p w14:paraId="3C34666E" w14:textId="2BBBEA3E" w:rsidR="00277773" w:rsidRPr="00021629" w:rsidRDefault="00277773" w:rsidP="00021629">
      <w:pPr>
        <w:spacing w:after="0"/>
        <w:ind w:left="284"/>
        <w:jc w:val="both"/>
        <w:rPr>
          <w:rFonts w:ascii="Times New Roman" w:hAnsi="Times New Roman" w:cs="Times New Roman"/>
        </w:rPr>
      </w:pPr>
      <w:r w:rsidRPr="00021629">
        <w:rPr>
          <w:rFonts w:ascii="Times New Roman" w:hAnsi="Times New Roman" w:cs="Times New Roman"/>
        </w:rPr>
        <w:t>Ad. 2</w:t>
      </w:r>
      <w:r w:rsidR="00021629" w:rsidRPr="00021629">
        <w:rPr>
          <w:rFonts w:ascii="Times New Roman" w:hAnsi="Times New Roman" w:cs="Times New Roman"/>
        </w:rPr>
        <w:t xml:space="preserve"> Rysunki wraz z przedmiarami należy rozpatrywać łącznie.</w:t>
      </w:r>
    </w:p>
    <w:p w14:paraId="19557BEE" w14:textId="3B7C5454" w:rsidR="00277773" w:rsidRPr="00021629" w:rsidRDefault="00277773" w:rsidP="00021629">
      <w:pPr>
        <w:spacing w:after="0"/>
        <w:ind w:left="284"/>
        <w:jc w:val="both"/>
        <w:rPr>
          <w:rFonts w:ascii="Times New Roman" w:hAnsi="Times New Roman" w:cs="Times New Roman"/>
        </w:rPr>
      </w:pPr>
      <w:r w:rsidRPr="00021629">
        <w:rPr>
          <w:rFonts w:ascii="Times New Roman" w:hAnsi="Times New Roman" w:cs="Times New Roman"/>
        </w:rPr>
        <w:t>Ad. 3</w:t>
      </w:r>
      <w:r w:rsidR="00021629" w:rsidRPr="00021629">
        <w:rPr>
          <w:rFonts w:ascii="Times New Roman" w:hAnsi="Times New Roman" w:cs="Times New Roman"/>
        </w:rPr>
        <w:t xml:space="preserve"> Rysunki wraz z przedmiarami należy rozpatrywać łącznie.</w:t>
      </w:r>
    </w:p>
    <w:p w14:paraId="33521266" w14:textId="2F9F5E0A" w:rsidR="00277773" w:rsidRPr="00021629" w:rsidRDefault="00277773" w:rsidP="00277773">
      <w:pPr>
        <w:spacing w:after="0"/>
        <w:ind w:left="284"/>
        <w:jc w:val="both"/>
        <w:rPr>
          <w:rFonts w:ascii="Times New Roman" w:hAnsi="Times New Roman" w:cs="Times New Roman"/>
        </w:rPr>
      </w:pPr>
      <w:r w:rsidRPr="00021629">
        <w:rPr>
          <w:rFonts w:ascii="Times New Roman" w:hAnsi="Times New Roman" w:cs="Times New Roman"/>
        </w:rPr>
        <w:t>Ad. 4 Stopa ma wymiar 2,50x2,50 m, należy wprowadzić zmianę w przedmiarze.</w:t>
      </w:r>
    </w:p>
    <w:p w14:paraId="25746BF9" w14:textId="28C7A1F0" w:rsidR="00277773" w:rsidRDefault="00277773" w:rsidP="00277773">
      <w:pPr>
        <w:spacing w:after="0"/>
        <w:ind w:left="284"/>
        <w:jc w:val="both"/>
        <w:rPr>
          <w:rFonts w:ascii="Times New Roman" w:hAnsi="Times New Roman" w:cs="Times New Roman"/>
        </w:rPr>
      </w:pPr>
      <w:r w:rsidRPr="00021629">
        <w:rPr>
          <w:rFonts w:ascii="Times New Roman" w:hAnsi="Times New Roman" w:cs="Times New Roman"/>
        </w:rPr>
        <w:t>Ad. 5 Należy z przedmiaru wykreślić pozycję "Inne" stopy o wym.1,60x1,60 w ilości 2 szt.</w:t>
      </w:r>
    </w:p>
    <w:p w14:paraId="7F2F650F" w14:textId="77777777" w:rsidR="00BA3E84" w:rsidRDefault="00BA3E84" w:rsidP="00277773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2EC8A902" w14:textId="77777777" w:rsidR="00BA3E84" w:rsidRPr="00F3700C" w:rsidRDefault="00BA3E84" w:rsidP="00BA3E8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3700C">
        <w:rPr>
          <w:rFonts w:ascii="Times New Roman" w:hAnsi="Times New Roman" w:cs="Times New Roman"/>
          <w:b/>
          <w:bCs/>
          <w:sz w:val="24"/>
          <w:szCs w:val="24"/>
        </w:rPr>
        <w:t>ytanie 18.03.2025 r.</w:t>
      </w:r>
    </w:p>
    <w:p w14:paraId="695276C1" w14:textId="77777777" w:rsidR="00BA3E84" w:rsidRPr="00BA3E84" w:rsidRDefault="00BA3E84" w:rsidP="00BA3E84">
      <w:pPr>
        <w:pStyle w:val="Akapitzlist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BA3E84">
        <w:rPr>
          <w:sz w:val="22"/>
          <w:szCs w:val="22"/>
        </w:rPr>
        <w:t xml:space="preserve">Odpowiedź na pytanie została opublikowana w dniu 21.03.2025 r. w pliku </w:t>
      </w:r>
      <w:r w:rsidRPr="00BA3E84">
        <w:rPr>
          <w:i/>
          <w:iCs/>
          <w:sz w:val="22"/>
          <w:szCs w:val="22"/>
        </w:rPr>
        <w:t>Odpowiedź na pytania 2.doc</w:t>
      </w:r>
    </w:p>
    <w:p w14:paraId="79D21F2C" w14:textId="77777777" w:rsidR="00BA3E84" w:rsidRPr="00BA3E84" w:rsidRDefault="00BA3E84" w:rsidP="00BA3E84">
      <w:pPr>
        <w:pStyle w:val="Akapitzlist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BA3E84">
        <w:rPr>
          <w:sz w:val="22"/>
          <w:szCs w:val="22"/>
        </w:rPr>
        <w:t xml:space="preserve">Odpowiedź na pytanie została opublikowana w dniu 21.03.2025 r. w pliku </w:t>
      </w:r>
      <w:r w:rsidRPr="00BA3E84">
        <w:rPr>
          <w:i/>
          <w:iCs/>
          <w:sz w:val="22"/>
          <w:szCs w:val="22"/>
        </w:rPr>
        <w:t>Odpowiedź na pytania 2.doc</w:t>
      </w:r>
    </w:p>
    <w:p w14:paraId="4B0E7607" w14:textId="0C0F5C3C" w:rsidR="00BA3E84" w:rsidRPr="00BA3E84" w:rsidRDefault="00BA3E84" w:rsidP="00BA3E84">
      <w:pPr>
        <w:pStyle w:val="Akapitzlist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BA3E84">
        <w:rPr>
          <w:sz w:val="22"/>
          <w:szCs w:val="22"/>
        </w:rPr>
        <w:lastRenderedPageBreak/>
        <w:t xml:space="preserve">Odpowiedź na pytanie została opublikowana w dniu 21.03.2025 r. w pliku </w:t>
      </w:r>
      <w:r w:rsidRPr="00BA3E84">
        <w:rPr>
          <w:i/>
          <w:iCs/>
          <w:sz w:val="22"/>
          <w:szCs w:val="22"/>
        </w:rPr>
        <w:t>Odpowiedź na pytania 2.doc</w:t>
      </w:r>
    </w:p>
    <w:p w14:paraId="445226DD" w14:textId="77777777" w:rsidR="00BA3E84" w:rsidRPr="00BA3E84" w:rsidRDefault="00BA3E84" w:rsidP="00BA3E84">
      <w:pPr>
        <w:pStyle w:val="Akapitzlist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BA3E84">
        <w:rPr>
          <w:sz w:val="22"/>
          <w:szCs w:val="22"/>
        </w:rPr>
        <w:t xml:space="preserve">Odpowiedź na pytanie została opublikowana w dniu 21.03.2025 r. w pliku </w:t>
      </w:r>
      <w:r w:rsidRPr="00BA3E84">
        <w:rPr>
          <w:i/>
          <w:iCs/>
          <w:sz w:val="22"/>
          <w:szCs w:val="22"/>
        </w:rPr>
        <w:t>Odpowiedź na pytania 2.doc</w:t>
      </w:r>
    </w:p>
    <w:p w14:paraId="28036FE6" w14:textId="77777777" w:rsidR="00BA3E84" w:rsidRPr="00E73F16" w:rsidRDefault="00BA3E84" w:rsidP="009A681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E73F16">
        <w:rPr>
          <w:sz w:val="22"/>
          <w:szCs w:val="22"/>
        </w:rPr>
        <w:t>Zgodnie z koncepcją architektoniczną sala gimnastyczna ma być wyposażona w ścianki wspinaczkowe. Proszę o potwierdzenie czy mają być wycenione. Jeśli tak to proszę o załączenie projektu.</w:t>
      </w:r>
    </w:p>
    <w:p w14:paraId="2C8BA44F" w14:textId="77777777" w:rsidR="00BA3E84" w:rsidRPr="00BA3E84" w:rsidRDefault="00BA3E84" w:rsidP="00BA3E84">
      <w:pPr>
        <w:pStyle w:val="Akapitzlist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BA3E84">
        <w:rPr>
          <w:sz w:val="22"/>
          <w:szCs w:val="22"/>
        </w:rPr>
        <w:t xml:space="preserve">Odpowiedź na pytanie została opublikowana w dniu 21.03.2025 r. w pliku </w:t>
      </w:r>
      <w:r w:rsidRPr="00BA3E84">
        <w:rPr>
          <w:i/>
          <w:iCs/>
          <w:sz w:val="22"/>
          <w:szCs w:val="22"/>
        </w:rPr>
        <w:t>Odpowiedź na pytania 2.doc</w:t>
      </w:r>
    </w:p>
    <w:p w14:paraId="43C4ACC4" w14:textId="77777777" w:rsidR="00BA3E84" w:rsidRPr="00BA3E84" w:rsidRDefault="00BA3E84" w:rsidP="00BA3E84">
      <w:pPr>
        <w:pStyle w:val="Akapitzlist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BA3E84">
        <w:rPr>
          <w:sz w:val="22"/>
          <w:szCs w:val="22"/>
        </w:rPr>
        <w:t xml:space="preserve">Odpowiedź na pytanie została opublikowana w dniu 21.03.2025 r. w pliku </w:t>
      </w:r>
      <w:r w:rsidRPr="00BA3E84">
        <w:rPr>
          <w:i/>
          <w:iCs/>
          <w:sz w:val="22"/>
          <w:szCs w:val="22"/>
        </w:rPr>
        <w:t>Odpowiedź na pytania 2.doc</w:t>
      </w:r>
    </w:p>
    <w:p w14:paraId="7F4483E5" w14:textId="77777777" w:rsidR="00BA3E84" w:rsidRPr="00BA3E84" w:rsidRDefault="00BA3E84" w:rsidP="00BA3E84">
      <w:pPr>
        <w:pStyle w:val="Akapitzlist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BA3E84">
        <w:rPr>
          <w:sz w:val="22"/>
          <w:szCs w:val="22"/>
        </w:rPr>
        <w:t xml:space="preserve">Odpowiedź na pytanie została opublikowana w dniu 21.03.2025 r. w pliku </w:t>
      </w:r>
      <w:r w:rsidRPr="00BA3E84">
        <w:rPr>
          <w:i/>
          <w:iCs/>
          <w:sz w:val="22"/>
          <w:szCs w:val="22"/>
        </w:rPr>
        <w:t>Odpowiedź na pytania 2.doc</w:t>
      </w:r>
    </w:p>
    <w:p w14:paraId="34C143B2" w14:textId="77777777" w:rsidR="00BA3E84" w:rsidRDefault="00BA3E84" w:rsidP="00BA3E84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754EC273" w14:textId="77777777" w:rsidR="00BA3E84" w:rsidRPr="00E73F16" w:rsidRDefault="00BA3E84" w:rsidP="00BA3E84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E73F16">
        <w:rPr>
          <w:rFonts w:ascii="Times New Roman" w:eastAsia="Times New Roman" w:hAnsi="Times New Roman" w:cs="Times New Roman"/>
          <w:lang w:eastAsia="pl-PL"/>
        </w:rPr>
        <w:t>Odpowiedź:</w:t>
      </w:r>
    </w:p>
    <w:p w14:paraId="6666D8B5" w14:textId="447CC8E0" w:rsidR="00BA3E84" w:rsidRPr="00E73F16" w:rsidRDefault="00BA3E84" w:rsidP="00BA3E84">
      <w:pPr>
        <w:spacing w:after="0"/>
        <w:jc w:val="both"/>
        <w:rPr>
          <w:rFonts w:ascii="Times New Roman" w:hAnsi="Times New Roman" w:cs="Times New Roman"/>
        </w:rPr>
      </w:pPr>
      <w:r w:rsidRPr="00E73F16">
        <w:rPr>
          <w:rFonts w:ascii="Times New Roman" w:eastAsia="Times New Roman" w:hAnsi="Times New Roman" w:cs="Times New Roman"/>
          <w:lang w:eastAsia="pl-PL"/>
        </w:rPr>
        <w:t>Ad.</w:t>
      </w:r>
      <w:r w:rsidR="005E5808">
        <w:rPr>
          <w:rFonts w:ascii="Times New Roman" w:eastAsia="Times New Roman" w:hAnsi="Times New Roman" w:cs="Times New Roman"/>
          <w:lang w:eastAsia="pl-PL"/>
        </w:rPr>
        <w:t xml:space="preserve"> 5</w:t>
      </w:r>
      <w:r w:rsidR="00E73F16">
        <w:rPr>
          <w:rFonts w:ascii="Times New Roman" w:eastAsia="Times New Roman" w:hAnsi="Times New Roman" w:cs="Times New Roman"/>
          <w:lang w:eastAsia="pl-PL"/>
        </w:rPr>
        <w:t>.  Ścianki wspinaczkowe nie podlegają wycenie przez Wykonawców.</w:t>
      </w:r>
      <w:r w:rsidR="005E580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AB35D78" w14:textId="77777777" w:rsidR="00BC2A15" w:rsidRDefault="00BC2A15" w:rsidP="001B025A">
      <w:pPr>
        <w:rPr>
          <w:rFonts w:ascii="Times New Roman" w:hAnsi="Times New Roman" w:cs="Times New Roman"/>
          <w:lang w:eastAsia="pl-PL"/>
        </w:rPr>
      </w:pPr>
    </w:p>
    <w:p w14:paraId="6AA32594" w14:textId="74834E2D" w:rsidR="00BC2A15" w:rsidRPr="00BC2A15" w:rsidRDefault="00BC2A15" w:rsidP="001B025A">
      <w:pPr>
        <w:rPr>
          <w:rFonts w:ascii="Times New Roman" w:hAnsi="Times New Roman" w:cs="Times New Roman"/>
          <w:b/>
          <w:bCs/>
          <w:lang w:eastAsia="pl-PL"/>
        </w:rPr>
      </w:pPr>
      <w:r w:rsidRPr="00BC2A15">
        <w:rPr>
          <w:rFonts w:ascii="Times New Roman" w:hAnsi="Times New Roman" w:cs="Times New Roman"/>
          <w:b/>
          <w:bCs/>
          <w:lang w:eastAsia="pl-PL"/>
        </w:rPr>
        <w:t>Pytanie 19.03.2025 r.</w:t>
      </w:r>
    </w:p>
    <w:p w14:paraId="25D711A2" w14:textId="53399AFD" w:rsidR="00BC2A15" w:rsidRDefault="00BC2A15" w:rsidP="00BA3E84">
      <w:pPr>
        <w:spacing w:after="0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BC2A15">
        <w:rPr>
          <w:rFonts w:ascii="Times New Roman" w:hAnsi="Times New Roman" w:cs="Times New Roman"/>
          <w:lang w:eastAsia="pl-PL"/>
        </w:rPr>
        <w:t>1. Zgodnie z opisem technicznym oraz przedmiarem należy zamontować markizy zewnętrzne oraz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BC2A15">
        <w:rPr>
          <w:rFonts w:ascii="Times New Roman" w:hAnsi="Times New Roman" w:cs="Times New Roman"/>
          <w:lang w:eastAsia="pl-PL"/>
        </w:rPr>
        <w:t>rolety wewnętrzne. Na rysunkach uwzględniono tylko rolety zewnętrzne oraz kilka rolet wewnętrznych. Obmiar 327,75 m2 dotyczy rolet czy markiz? Brak projektu wnętrz z zakresu rolet wewnętrznych</w:t>
      </w:r>
      <w:r>
        <w:rPr>
          <w:rFonts w:ascii="Times New Roman" w:hAnsi="Times New Roman" w:cs="Times New Roman"/>
          <w:lang w:eastAsia="pl-PL"/>
        </w:rPr>
        <w:t>.</w:t>
      </w:r>
    </w:p>
    <w:p w14:paraId="1639F78C" w14:textId="77777777" w:rsidR="00BC2A15" w:rsidRDefault="00BC2A15" w:rsidP="00BA3E84">
      <w:pPr>
        <w:spacing w:after="0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BC2A15">
        <w:rPr>
          <w:rFonts w:ascii="Times New Roman" w:hAnsi="Times New Roman" w:cs="Times New Roman"/>
          <w:lang w:eastAsia="pl-PL"/>
        </w:rPr>
        <w:t>2. Proszę o podanie parametrów technicznych membrany dachowej EPDM</w:t>
      </w:r>
    </w:p>
    <w:p w14:paraId="6E1DE6E0" w14:textId="77777777" w:rsidR="00BC2A15" w:rsidRDefault="00BC2A15" w:rsidP="00BA3E84">
      <w:pPr>
        <w:spacing w:after="0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BC2A15">
        <w:rPr>
          <w:rFonts w:ascii="Times New Roman" w:hAnsi="Times New Roman" w:cs="Times New Roman"/>
          <w:lang w:eastAsia="pl-PL"/>
        </w:rPr>
        <w:t>3. Proszę o uzupełnienie dokumentacji rysunkowej o balustrady.</w:t>
      </w:r>
    </w:p>
    <w:p w14:paraId="1C3F448B" w14:textId="77777777" w:rsidR="00BC2A15" w:rsidRDefault="00BC2A15" w:rsidP="00BA3E84">
      <w:pPr>
        <w:spacing w:after="0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BC2A15">
        <w:rPr>
          <w:rFonts w:ascii="Times New Roman" w:hAnsi="Times New Roman" w:cs="Times New Roman"/>
          <w:lang w:eastAsia="pl-PL"/>
        </w:rPr>
        <w:t>4. Czy konstrukcja dachu powinna mieć zabezpieczenie ogniowe? Jeśli tak to jakie zabezpieczenie przyjąć?</w:t>
      </w:r>
    </w:p>
    <w:p w14:paraId="78EBE81C" w14:textId="2BBC5644" w:rsidR="00BC2A15" w:rsidRPr="00D60106" w:rsidRDefault="00BC2A15" w:rsidP="00BC2A15">
      <w:pPr>
        <w:ind w:left="426" w:hanging="284"/>
        <w:jc w:val="both"/>
        <w:rPr>
          <w:rFonts w:ascii="Times New Roman" w:hAnsi="Times New Roman" w:cs="Times New Roman"/>
          <w:i/>
          <w:iCs/>
          <w:lang w:eastAsia="pl-PL"/>
        </w:rPr>
      </w:pPr>
      <w:r w:rsidRPr="00BC2A15">
        <w:rPr>
          <w:rFonts w:ascii="Times New Roman" w:hAnsi="Times New Roman" w:cs="Times New Roman"/>
          <w:lang w:eastAsia="pl-PL"/>
        </w:rPr>
        <w:t xml:space="preserve">5. </w:t>
      </w:r>
      <w:r w:rsidR="00D60106">
        <w:rPr>
          <w:rFonts w:ascii="Times New Roman" w:hAnsi="Times New Roman" w:cs="Times New Roman"/>
          <w:lang w:eastAsia="pl-PL"/>
        </w:rPr>
        <w:t xml:space="preserve">Odpowiedź na pytanie została opublikowana w dniu 21.03.2025 r. w pliku </w:t>
      </w:r>
      <w:r w:rsidR="00D60106" w:rsidRPr="00D60106">
        <w:rPr>
          <w:rFonts w:ascii="Times New Roman" w:hAnsi="Times New Roman" w:cs="Times New Roman"/>
          <w:i/>
          <w:iCs/>
          <w:lang w:eastAsia="pl-PL"/>
        </w:rPr>
        <w:t>Odpowiedź na pytania 2.doc</w:t>
      </w:r>
    </w:p>
    <w:p w14:paraId="1D051FB7" w14:textId="7244805F" w:rsidR="00F8580D" w:rsidRPr="00BA3E84" w:rsidRDefault="00D60106" w:rsidP="00EB3B27">
      <w:pPr>
        <w:spacing w:after="0"/>
        <w:rPr>
          <w:rFonts w:ascii="Times New Roman" w:hAnsi="Times New Roman" w:cs="Times New Roman"/>
          <w:b/>
          <w:bCs/>
          <w:lang w:eastAsia="pl-PL"/>
        </w:rPr>
      </w:pPr>
      <w:r w:rsidRPr="00BA3E84">
        <w:rPr>
          <w:rFonts w:ascii="Times New Roman" w:hAnsi="Times New Roman" w:cs="Times New Roman"/>
          <w:b/>
          <w:bCs/>
          <w:lang w:eastAsia="pl-PL"/>
        </w:rPr>
        <w:t>Odpowiedź:</w:t>
      </w:r>
    </w:p>
    <w:p w14:paraId="2EF23FE9" w14:textId="77777777" w:rsidR="00F8580D" w:rsidRDefault="00F8580D" w:rsidP="00F8580D">
      <w:pPr>
        <w:spacing w:after="0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 xml:space="preserve">Ad. 1 </w:t>
      </w:r>
    </w:p>
    <w:p w14:paraId="093240A2" w14:textId="4177E0A7" w:rsidR="00F8580D" w:rsidRPr="00F8580D" w:rsidRDefault="00F8580D" w:rsidP="00F8580D">
      <w:pPr>
        <w:spacing w:after="0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- Elewacja płd-wsch: 3,32*33,40+3,0*33,40+2,10*(13,72+12,45) = 266,05 m</w:t>
      </w:r>
      <w:r w:rsidRPr="00F8580D">
        <w:rPr>
          <w:rFonts w:ascii="Times New Roman" w:hAnsi="Times New Roman" w:cs="Times New Roman"/>
          <w:vertAlign w:val="superscript"/>
        </w:rPr>
        <w:t>2</w:t>
      </w:r>
    </w:p>
    <w:p w14:paraId="67E64B1C" w14:textId="77777777" w:rsidR="00F8580D" w:rsidRPr="00F8580D" w:rsidRDefault="00F8580D" w:rsidP="00F8580D">
      <w:pPr>
        <w:spacing w:after="0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- Elewacja płd-zach: 3,0*20,60 = 61,80 m</w:t>
      </w:r>
      <w:r w:rsidRPr="00F8580D">
        <w:rPr>
          <w:rFonts w:ascii="Times New Roman" w:hAnsi="Times New Roman" w:cs="Times New Roman"/>
          <w:vertAlign w:val="superscript"/>
        </w:rPr>
        <w:t>2</w:t>
      </w:r>
    </w:p>
    <w:p w14:paraId="08DC5D39" w14:textId="77777777" w:rsidR="00F8580D" w:rsidRPr="00F8580D" w:rsidRDefault="00F8580D" w:rsidP="00F8580D">
      <w:pPr>
        <w:spacing w:after="0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Razem: 327,85 m</w:t>
      </w:r>
      <w:r w:rsidRPr="00F8580D">
        <w:rPr>
          <w:rFonts w:ascii="Times New Roman" w:hAnsi="Times New Roman" w:cs="Times New Roman"/>
          <w:vertAlign w:val="superscript"/>
        </w:rPr>
        <w:t>2</w:t>
      </w:r>
    </w:p>
    <w:p w14:paraId="08F10457" w14:textId="77777777" w:rsidR="00F8580D" w:rsidRPr="00F8580D" w:rsidRDefault="00F8580D" w:rsidP="00F8580D">
      <w:pPr>
        <w:spacing w:before="120" w:after="0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Przedmiar dla rolet wewnętrznych:</w:t>
      </w:r>
    </w:p>
    <w:p w14:paraId="21402CAA" w14:textId="77777777" w:rsidR="00F8580D" w:rsidRPr="00F8580D" w:rsidRDefault="00F8580D" w:rsidP="00F8580D">
      <w:pPr>
        <w:spacing w:after="0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- elewacja płn-zach: 2,95*2,17+2,90*4,17+3,0*(2,77+2,23) = 33,49 m</w:t>
      </w:r>
      <w:r w:rsidRPr="00F8580D">
        <w:rPr>
          <w:rFonts w:ascii="Times New Roman" w:hAnsi="Times New Roman" w:cs="Times New Roman"/>
          <w:vertAlign w:val="superscript"/>
        </w:rPr>
        <w:t>2</w:t>
      </w:r>
    </w:p>
    <w:p w14:paraId="35FE2BEF" w14:textId="77777777" w:rsidR="00F8580D" w:rsidRP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Opis markiz zewnętrznych i rolet wewnętrznych w opisie technicznym architektury (3.2.4) i</w:t>
      </w:r>
    </w:p>
    <w:p w14:paraId="72E82FCF" w14:textId="77777777" w:rsidR="00F8580D" w:rsidRP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architektury wnętrz (pkt. 9). Rozpatrywać łącznie.</w:t>
      </w:r>
    </w:p>
    <w:p w14:paraId="20F92F26" w14:textId="507F1D0C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Określenie „</w:t>
      </w:r>
      <w:r w:rsidRPr="00F8580D">
        <w:rPr>
          <w:rFonts w:ascii="Times New Roman" w:hAnsi="Times New Roman" w:cs="Times New Roman"/>
          <w:i/>
          <w:iCs/>
        </w:rPr>
        <w:t>rolety zewnętrzne</w:t>
      </w:r>
      <w:r w:rsidRPr="00F8580D">
        <w:rPr>
          <w:rFonts w:ascii="Times New Roman" w:hAnsi="Times New Roman" w:cs="Times New Roman"/>
        </w:rPr>
        <w:t>” na rysunkach odnosi się do lokalizacji markiz zewnętrznych.</w:t>
      </w:r>
    </w:p>
    <w:p w14:paraId="256BB710" w14:textId="77777777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</w:p>
    <w:p w14:paraId="2164651D" w14:textId="31CE332C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Ad. 2 </w:t>
      </w:r>
    </w:p>
    <w:p w14:paraId="0D150F32" w14:textId="77777777" w:rsidR="00F8580D" w:rsidRP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W projekcie przewidziano membranę dachową jako zewnętrzną warstwę zadaszenia sali</w:t>
      </w:r>
    </w:p>
    <w:p w14:paraId="7BF4B4BF" w14:textId="77777777" w:rsidR="00F8580D" w:rsidRP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gimnastycznej; zgodnie z opisem ( warunki ochrony ppoż pkt 7.3):</w:t>
      </w:r>
    </w:p>
    <w:p w14:paraId="75C6FD71" w14:textId="77777777" w:rsidR="00F8580D" w:rsidRP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„Wszystkie elementy budowlane, w tym również warstwy przekrycia dachu zaprojektowano o</w:t>
      </w:r>
    </w:p>
    <w:p w14:paraId="6DF5D434" w14:textId="3446712B" w:rsidR="00F8580D" w:rsidRP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cesze nierozprzestrzeniania ognia. Pokrycie o klasie reakcji na ogień B</w:t>
      </w:r>
      <w:r w:rsidRPr="00F8580D">
        <w:rPr>
          <w:rFonts w:ascii="Times New Roman" w:hAnsi="Times New Roman" w:cs="Times New Roman"/>
          <w:vertAlign w:val="subscript"/>
        </w:rPr>
        <w:t>ROOF</w:t>
      </w:r>
      <w:r w:rsidRPr="00F8580D">
        <w:rPr>
          <w:rFonts w:ascii="Times New Roman" w:hAnsi="Times New Roman" w:cs="Times New Roman"/>
        </w:rPr>
        <w:t>(t1).</w:t>
      </w:r>
      <w:r>
        <w:rPr>
          <w:rFonts w:ascii="Times New Roman" w:hAnsi="Times New Roman" w:cs="Times New Roman"/>
        </w:rPr>
        <w:t>”</w:t>
      </w:r>
    </w:p>
    <w:p w14:paraId="0ADACE59" w14:textId="77777777" w:rsidR="00F8580D" w:rsidRP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Membrana powinna spełniać współczynnik przepuszczalności pary wodnej odpowiedni dla</w:t>
      </w:r>
    </w:p>
    <w:p w14:paraId="387E1D97" w14:textId="2B06ECA5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warstwy zewnętrznej</w:t>
      </w:r>
      <w:r>
        <w:rPr>
          <w:rFonts w:ascii="Times New Roman" w:hAnsi="Times New Roman" w:cs="Times New Roman"/>
        </w:rPr>
        <w:t>.</w:t>
      </w:r>
    </w:p>
    <w:p w14:paraId="7F29F88E" w14:textId="77777777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</w:p>
    <w:p w14:paraId="6A488DB6" w14:textId="30E03E99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3</w:t>
      </w:r>
    </w:p>
    <w:p w14:paraId="6ADDDC10" w14:textId="77777777" w:rsidR="00F8580D" w:rsidRP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Balustrady wewnętrzne żelbetowe w okładzinie laminowanej z pochwytem drewnianym;</w:t>
      </w:r>
    </w:p>
    <w:p w14:paraId="0DEBF1DC" w14:textId="495AB9E0" w:rsidR="00F8580D" w:rsidRP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Szczegółowy opis znajduje się w projekcie wnętrz; Należy rozpatrywać łącznie z branżą</w:t>
      </w:r>
      <w:r>
        <w:rPr>
          <w:rFonts w:ascii="Times New Roman" w:hAnsi="Times New Roman" w:cs="Times New Roman"/>
        </w:rPr>
        <w:t xml:space="preserve"> </w:t>
      </w:r>
      <w:r w:rsidRPr="00F8580D">
        <w:rPr>
          <w:rFonts w:ascii="Times New Roman" w:hAnsi="Times New Roman" w:cs="Times New Roman"/>
        </w:rPr>
        <w:t>architektury;</w:t>
      </w:r>
    </w:p>
    <w:p w14:paraId="75AB2358" w14:textId="78DDAD10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Balustrady zewnętrzne są opisane na rzutach i przekrojach jako szklane systemowe montowane w</w:t>
      </w:r>
      <w:r>
        <w:rPr>
          <w:rFonts w:ascii="Times New Roman" w:hAnsi="Times New Roman" w:cs="Times New Roman"/>
        </w:rPr>
        <w:t xml:space="preserve"> </w:t>
      </w:r>
      <w:r w:rsidRPr="00F8580D">
        <w:rPr>
          <w:rFonts w:ascii="Times New Roman" w:hAnsi="Times New Roman" w:cs="Times New Roman"/>
        </w:rPr>
        <w:lastRenderedPageBreak/>
        <w:t>szynie, oraz murki z pochwytem stalowym malowanym;</w:t>
      </w:r>
    </w:p>
    <w:p w14:paraId="1FA4BF20" w14:textId="77777777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</w:p>
    <w:p w14:paraId="59A398CE" w14:textId="383EFD3F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4</w:t>
      </w:r>
    </w:p>
    <w:p w14:paraId="05775C0A" w14:textId="04F45DA6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  <w:r w:rsidRPr="00F8580D">
        <w:rPr>
          <w:rFonts w:ascii="Times New Roman" w:hAnsi="Times New Roman" w:cs="Times New Roman"/>
        </w:rPr>
        <w:t>Tak, zgodnie z warunkami ochrony ppoż konstrukcję dachu zaprojektowano w klasie R 30,</w:t>
      </w:r>
      <w:r>
        <w:rPr>
          <w:rFonts w:ascii="Times New Roman" w:hAnsi="Times New Roman" w:cs="Times New Roman"/>
        </w:rPr>
        <w:t> </w:t>
      </w:r>
      <w:r w:rsidRPr="00F8580D">
        <w:rPr>
          <w:rFonts w:ascii="Times New Roman" w:hAnsi="Times New Roman" w:cs="Times New Roman"/>
        </w:rPr>
        <w:t>przekrycie dachu RE 30, w budynku dwukondygnacyjnym dopuszcza się bezklasową</w:t>
      </w:r>
      <w:r>
        <w:rPr>
          <w:rFonts w:ascii="Times New Roman" w:hAnsi="Times New Roman" w:cs="Times New Roman"/>
        </w:rPr>
        <w:t>.</w:t>
      </w:r>
    </w:p>
    <w:p w14:paraId="670B9B06" w14:textId="77777777" w:rsidR="00F8580D" w:rsidRDefault="00F8580D" w:rsidP="00F8580D">
      <w:pPr>
        <w:spacing w:after="0" w:line="240" w:lineRule="auto"/>
        <w:rPr>
          <w:rFonts w:ascii="Times New Roman" w:hAnsi="Times New Roman" w:cs="Times New Roman"/>
        </w:rPr>
      </w:pPr>
    </w:p>
    <w:p w14:paraId="169D6F5D" w14:textId="77777777" w:rsidR="00D60106" w:rsidRDefault="00D60106" w:rsidP="00EB3B27">
      <w:pPr>
        <w:spacing w:after="0"/>
        <w:rPr>
          <w:rFonts w:ascii="Times New Roman" w:hAnsi="Times New Roman" w:cs="Times New Roman"/>
          <w:b/>
          <w:bCs/>
          <w:lang w:eastAsia="pl-PL"/>
        </w:rPr>
      </w:pPr>
    </w:p>
    <w:p w14:paraId="38FAE970" w14:textId="26CE5928" w:rsidR="006A38EB" w:rsidRPr="006A38EB" w:rsidRDefault="006A38EB" w:rsidP="006A38EB">
      <w:pPr>
        <w:rPr>
          <w:rFonts w:ascii="Times New Roman" w:hAnsi="Times New Roman" w:cs="Times New Roman"/>
          <w:b/>
          <w:bCs/>
          <w:lang w:eastAsia="pl-PL"/>
        </w:rPr>
      </w:pPr>
      <w:r w:rsidRPr="006A38EB">
        <w:rPr>
          <w:rFonts w:ascii="Times New Roman" w:hAnsi="Times New Roman" w:cs="Times New Roman"/>
          <w:b/>
          <w:bCs/>
          <w:lang w:eastAsia="pl-PL"/>
        </w:rPr>
        <w:t>Pytanie 20.03.2025 r.</w:t>
      </w:r>
    </w:p>
    <w:p w14:paraId="0A43FD40" w14:textId="17026FE2" w:rsidR="006A38EB" w:rsidRPr="00BA3E84" w:rsidRDefault="006A38EB" w:rsidP="006A38EB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A38EB">
        <w:rPr>
          <w:sz w:val="22"/>
          <w:szCs w:val="22"/>
        </w:rPr>
        <w:t xml:space="preserve">Czy </w:t>
      </w:r>
      <w:r w:rsidRPr="00BA3E84">
        <w:rPr>
          <w:sz w:val="22"/>
          <w:szCs w:val="22"/>
        </w:rPr>
        <w:t>wiązary kratowe mają być wykonane w całości o długości 20m czy będą mogły być wykonane i połączone z dwóch elementów? To wymaga uzgodnienia z projektantem.</w:t>
      </w:r>
    </w:p>
    <w:p w14:paraId="4A307B4A" w14:textId="3B8E169A" w:rsidR="006A38EB" w:rsidRPr="00BA3E84" w:rsidRDefault="00D60106" w:rsidP="006A38EB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sz w:val="22"/>
          <w:szCs w:val="22"/>
        </w:rPr>
      </w:pPr>
      <w:r w:rsidRPr="00BA3E84">
        <w:rPr>
          <w:sz w:val="22"/>
          <w:szCs w:val="22"/>
        </w:rPr>
        <w:t xml:space="preserve">Odpowiedź na pytanie została opublikowana w dniu 21.03.2025 r. w pliku </w:t>
      </w:r>
      <w:r w:rsidRPr="00BA3E84">
        <w:rPr>
          <w:i/>
          <w:iCs/>
          <w:sz w:val="22"/>
          <w:szCs w:val="22"/>
        </w:rPr>
        <w:t>Odpowiedź na pytania 2.doc</w:t>
      </w:r>
    </w:p>
    <w:p w14:paraId="3D17FBBA" w14:textId="77777777" w:rsidR="00D60106" w:rsidRPr="00BA3E84" w:rsidRDefault="00D60106" w:rsidP="006A38EB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BA3E84">
        <w:rPr>
          <w:sz w:val="22"/>
          <w:szCs w:val="22"/>
        </w:rPr>
        <w:t xml:space="preserve">Odpowiedź na pytanie została opublikowana w dniu 21.03.2025 r. w pliku </w:t>
      </w:r>
      <w:r w:rsidRPr="00BA3E84">
        <w:rPr>
          <w:i/>
          <w:iCs/>
          <w:sz w:val="22"/>
          <w:szCs w:val="22"/>
        </w:rPr>
        <w:t>Odpowiedź na pytania 2.doc</w:t>
      </w:r>
      <w:r w:rsidRPr="00BA3E84">
        <w:rPr>
          <w:sz w:val="22"/>
          <w:szCs w:val="22"/>
        </w:rPr>
        <w:t xml:space="preserve"> </w:t>
      </w:r>
    </w:p>
    <w:p w14:paraId="54EDEF5D" w14:textId="5620A2F2" w:rsidR="006A38EB" w:rsidRPr="006A38EB" w:rsidRDefault="006A38EB" w:rsidP="006A38EB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BA3E84">
        <w:rPr>
          <w:sz w:val="22"/>
          <w:szCs w:val="22"/>
        </w:rPr>
        <w:t>Sterowanie rolet - czy</w:t>
      </w:r>
      <w:r w:rsidRPr="006A38EB">
        <w:rPr>
          <w:sz w:val="22"/>
          <w:szCs w:val="22"/>
        </w:rPr>
        <w:t xml:space="preserve"> Wykonawca dopuszcza montaż na stałe do ściany pilota systemowego dostarczanego do rolet czy Zamawiający wymaga aby były to łączniki roletowe żaluzjowe w</w:t>
      </w:r>
      <w:r w:rsidR="0041196C">
        <w:rPr>
          <w:sz w:val="22"/>
          <w:szCs w:val="22"/>
        </w:rPr>
        <w:t> </w:t>
      </w:r>
      <w:r w:rsidRPr="006A38EB">
        <w:rPr>
          <w:sz w:val="22"/>
          <w:szCs w:val="22"/>
        </w:rPr>
        <w:t>ramkach elektrycznych jak pozostały osprzęt elektryczny?</w:t>
      </w:r>
    </w:p>
    <w:p w14:paraId="0C34D2F2" w14:textId="77777777" w:rsidR="006A38EB" w:rsidRPr="00D60106" w:rsidRDefault="006A38EB" w:rsidP="006A38EB">
      <w:pPr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37F4FDF3" w14:textId="73F31BF9" w:rsidR="00D60106" w:rsidRPr="00BA3E84" w:rsidRDefault="00D60106" w:rsidP="003C4AAC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BA3E84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14:paraId="0A23CC73" w14:textId="77777777" w:rsidR="003C4AAC" w:rsidRPr="00BA3E84" w:rsidRDefault="00105B7E" w:rsidP="003C4AAC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BA3E84">
        <w:rPr>
          <w:rFonts w:ascii="Times New Roman" w:eastAsia="Times New Roman" w:hAnsi="Times New Roman" w:cs="Times New Roman"/>
          <w:lang w:eastAsia="pl-PL"/>
        </w:rPr>
        <w:t>Ad. 1</w:t>
      </w:r>
      <w:r w:rsidR="003C4AAC" w:rsidRPr="00BA3E8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E586706" w14:textId="6D41A354" w:rsidR="003C4AAC" w:rsidRPr="00BA3E84" w:rsidRDefault="003C4AAC" w:rsidP="003C4AAC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BA3E84">
        <w:rPr>
          <w:rFonts w:ascii="Times New Roman" w:eastAsia="Times New Roman" w:hAnsi="Times New Roman" w:cs="Times New Roman"/>
          <w:lang w:eastAsia="pl-PL"/>
        </w:rPr>
        <w:t>- projektant konstrukcji nie zgłasza przeciwwskazań</w:t>
      </w:r>
    </w:p>
    <w:p w14:paraId="30753D74" w14:textId="77777777" w:rsidR="003C4AAC" w:rsidRPr="00BA3E84" w:rsidRDefault="003C4AAC" w:rsidP="003C4AAC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BA3E84">
        <w:rPr>
          <w:rFonts w:ascii="Times New Roman" w:eastAsia="Times New Roman" w:hAnsi="Times New Roman" w:cs="Times New Roman"/>
          <w:lang w:eastAsia="pl-PL"/>
        </w:rPr>
        <w:t>- rozwiązanie techniczne styku montażowego dwóch elementów do opracowania przez projektantów wykonawcy/producenta</w:t>
      </w:r>
    </w:p>
    <w:p w14:paraId="1CC350AD" w14:textId="77777777" w:rsidR="003C4AAC" w:rsidRPr="00BA3E84" w:rsidRDefault="003C4AAC" w:rsidP="003C4AAC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BA3E84">
        <w:rPr>
          <w:rFonts w:ascii="Times New Roman" w:eastAsia="Times New Roman" w:hAnsi="Times New Roman" w:cs="Times New Roman"/>
          <w:lang w:eastAsia="pl-PL"/>
        </w:rPr>
        <w:t>- do akceptacji inwestora i inspektora nadzoru</w:t>
      </w:r>
    </w:p>
    <w:p w14:paraId="02317B04" w14:textId="0BFAC5E8" w:rsidR="00105B7E" w:rsidRPr="00BA3E84" w:rsidRDefault="00105B7E" w:rsidP="00BA3E84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7126D2A3" w14:textId="2668D5D0" w:rsidR="00105B7E" w:rsidRPr="00BA3E84" w:rsidRDefault="00105B7E" w:rsidP="00BA3E84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BA3E84">
        <w:rPr>
          <w:rFonts w:ascii="Times New Roman" w:eastAsia="Times New Roman" w:hAnsi="Times New Roman" w:cs="Times New Roman"/>
          <w:lang w:eastAsia="pl-PL"/>
        </w:rPr>
        <w:t>Ad. 4</w:t>
      </w:r>
    </w:p>
    <w:p w14:paraId="72917D8B" w14:textId="12336682" w:rsidR="003C4AAC" w:rsidRPr="00BA3E84" w:rsidRDefault="00BA3E84" w:rsidP="00BA3E84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BA3E84">
        <w:rPr>
          <w:rFonts w:ascii="Times New Roman" w:eastAsia="Times New Roman" w:hAnsi="Times New Roman" w:cs="Times New Roman"/>
          <w:lang w:eastAsia="pl-PL"/>
        </w:rPr>
        <w:t>Zamawiający dopuszcza łączniki roletowe żaluzjowe w ramkach elektrycznych.</w:t>
      </w:r>
    </w:p>
    <w:p w14:paraId="7C72A1F0" w14:textId="77777777" w:rsidR="003C4AAC" w:rsidRPr="00D60106" w:rsidRDefault="003C4AAC" w:rsidP="006A38EB">
      <w:pPr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05AD63FE" w14:textId="6E5AB1D0" w:rsidR="006A38EB" w:rsidRPr="00D60106" w:rsidRDefault="006A38EB" w:rsidP="006A38EB">
      <w:pPr>
        <w:rPr>
          <w:rFonts w:ascii="Times New Roman" w:hAnsi="Times New Roman" w:cs="Times New Roman"/>
          <w:b/>
          <w:bCs/>
          <w:lang w:eastAsia="pl-PL"/>
        </w:rPr>
      </w:pPr>
      <w:r w:rsidRPr="006A38EB">
        <w:rPr>
          <w:rFonts w:ascii="Times New Roman" w:hAnsi="Times New Roman" w:cs="Times New Roman"/>
          <w:b/>
          <w:bCs/>
          <w:lang w:eastAsia="pl-PL"/>
        </w:rPr>
        <w:t xml:space="preserve">Pytanie </w:t>
      </w:r>
      <w:r w:rsidRPr="00D60106">
        <w:rPr>
          <w:rFonts w:ascii="Times New Roman" w:hAnsi="Times New Roman" w:cs="Times New Roman"/>
          <w:b/>
          <w:bCs/>
          <w:lang w:eastAsia="pl-PL"/>
        </w:rPr>
        <w:t>21.03.2025 r.</w:t>
      </w:r>
    </w:p>
    <w:p w14:paraId="6D250B9C" w14:textId="413B615F" w:rsidR="006A38EB" w:rsidRPr="00D60106" w:rsidRDefault="006A38EB" w:rsidP="006A38EB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60106">
        <w:rPr>
          <w:sz w:val="22"/>
          <w:szCs w:val="22"/>
        </w:rPr>
        <w:t>W przedmiarze robót załączonym do postępowania występują pozycje z zapisem „… przewiezienie w miejsce wskazane przez inwestora lub wywóz na wysypisko …” (dotyczy m.in. rozebrania kostki betonowej). Prosimy o jednoznaczne określenie sposobu zagospodarowania materiału z rozbiórki w celu należytego skalkulowania wartości robót.</w:t>
      </w:r>
    </w:p>
    <w:p w14:paraId="2DA874EC" w14:textId="1387AE50" w:rsidR="006A38EB" w:rsidRPr="00D60106" w:rsidRDefault="006A38EB" w:rsidP="006A38EB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60106">
        <w:rPr>
          <w:sz w:val="22"/>
          <w:szCs w:val="22"/>
        </w:rPr>
        <w:t>Prosimy o określenie materiału wykonania parapetów, zarówno wewnętrznych jak i zewnętrznych.</w:t>
      </w:r>
    </w:p>
    <w:p w14:paraId="151B18BE" w14:textId="77777777" w:rsidR="0041196C" w:rsidRDefault="0041196C" w:rsidP="00D60106">
      <w:pPr>
        <w:spacing w:after="0" w:line="276" w:lineRule="auto"/>
        <w:jc w:val="both"/>
      </w:pPr>
    </w:p>
    <w:p w14:paraId="3E3BF6D5" w14:textId="7A3D19FE" w:rsidR="006A38EB" w:rsidRPr="003C4AAC" w:rsidRDefault="0041196C" w:rsidP="0041196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C4AAC">
        <w:rPr>
          <w:rFonts w:ascii="Times New Roman" w:hAnsi="Times New Roman" w:cs="Times New Roman"/>
          <w:b/>
          <w:bCs/>
        </w:rPr>
        <w:t>Odpowiedź:</w:t>
      </w:r>
    </w:p>
    <w:p w14:paraId="05FE9881" w14:textId="25A2D3EC" w:rsidR="0041196C" w:rsidRDefault="0041196C" w:rsidP="0041196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AAC">
        <w:rPr>
          <w:rFonts w:ascii="Times New Roman" w:hAnsi="Times New Roman" w:cs="Times New Roman"/>
        </w:rPr>
        <w:t>Ad. 1 Do Wykonawcy należy zutylizowanie kostki betonowej w ramach podpisanej umowy.</w:t>
      </w:r>
    </w:p>
    <w:p w14:paraId="461E6E2E" w14:textId="77777777" w:rsidR="00BA3E84" w:rsidRPr="003C4AAC" w:rsidRDefault="00BA3E84" w:rsidP="0041196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1C797B" w14:textId="0681EDF3" w:rsidR="003C4AAC" w:rsidRPr="003C4AAC" w:rsidRDefault="0041196C" w:rsidP="003C4A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AAC">
        <w:rPr>
          <w:rFonts w:ascii="Times New Roman" w:hAnsi="Times New Roman" w:cs="Times New Roman"/>
        </w:rPr>
        <w:t>Ad. 2</w:t>
      </w:r>
      <w:r w:rsidR="003C4AAC">
        <w:rPr>
          <w:rFonts w:ascii="Times New Roman" w:hAnsi="Times New Roman" w:cs="Times New Roman"/>
        </w:rPr>
        <w:t xml:space="preserve"> </w:t>
      </w:r>
      <w:r w:rsidR="003C4AAC" w:rsidRPr="003C4AAC">
        <w:rPr>
          <w:rFonts w:ascii="Times New Roman" w:hAnsi="Times New Roman" w:cs="Times New Roman"/>
        </w:rPr>
        <w:t>PARAPETY WEWNĘTRZNE: Zgodnie z opisem technicznym do projektu wnętrz:</w:t>
      </w:r>
    </w:p>
    <w:p w14:paraId="73D74A8C" w14:textId="1875B5D4" w:rsidR="003C4AAC" w:rsidRPr="003C4AAC" w:rsidRDefault="003C4AAC" w:rsidP="003C4A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AAC">
        <w:rPr>
          <w:rFonts w:ascii="Times New Roman" w:hAnsi="Times New Roman" w:cs="Times New Roman"/>
        </w:rPr>
        <w:t>„Parapety wewnętrzne z płyty melaminowanej w kolorze czarnym, gładkim, matowym, grubość 3,6 cm, szerokość identyczna jak wnęki ( nie wystawiać parapetu na ścianę poza otwór okienny ).”</w:t>
      </w:r>
    </w:p>
    <w:p w14:paraId="1C68CB2B" w14:textId="57F7BEF0" w:rsidR="003C4AAC" w:rsidRPr="003C4AAC" w:rsidRDefault="003C4AAC" w:rsidP="003C4A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AAC">
        <w:rPr>
          <w:rFonts w:ascii="Times New Roman" w:hAnsi="Times New Roman" w:cs="Times New Roman"/>
        </w:rPr>
        <w:t>PARAPETY ZEWNĘTRZNE: Zgodnie z opisem technicznym do PT architektura:</w:t>
      </w:r>
    </w:p>
    <w:p w14:paraId="4FFFE6A6" w14:textId="7B46E345" w:rsidR="0041196C" w:rsidRPr="003C4AAC" w:rsidRDefault="003C4AAC" w:rsidP="003C4A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AAC">
        <w:rPr>
          <w:rFonts w:ascii="Times New Roman" w:hAnsi="Times New Roman" w:cs="Times New Roman"/>
        </w:rPr>
        <w:t>„blaszane ocynkowane i malowane proszkowo na kolor RAL 7016 ( antracyt )”</w:t>
      </w:r>
    </w:p>
    <w:p w14:paraId="10169A20" w14:textId="77777777" w:rsidR="0041196C" w:rsidRPr="00D60106" w:rsidRDefault="0041196C" w:rsidP="0041196C">
      <w:pPr>
        <w:spacing w:after="0" w:line="276" w:lineRule="auto"/>
        <w:jc w:val="both"/>
        <w:rPr>
          <w:color w:val="FF0000"/>
        </w:rPr>
      </w:pPr>
    </w:p>
    <w:p w14:paraId="54EAD265" w14:textId="77777777" w:rsidR="00D60106" w:rsidRDefault="00D60106" w:rsidP="0041196C">
      <w:pPr>
        <w:spacing w:after="0" w:line="276" w:lineRule="auto"/>
        <w:jc w:val="both"/>
      </w:pPr>
    </w:p>
    <w:p w14:paraId="01563942" w14:textId="0F9EBAE6" w:rsidR="006A38EB" w:rsidRPr="00BF7CD1" w:rsidRDefault="00D60106" w:rsidP="006A38E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F7CD1">
        <w:rPr>
          <w:rFonts w:ascii="Times New Roman" w:hAnsi="Times New Roman" w:cs="Times New Roman"/>
          <w:b/>
          <w:bCs/>
        </w:rPr>
        <w:t>Pytanie 21.03.2025 r.</w:t>
      </w:r>
    </w:p>
    <w:p w14:paraId="365C185F" w14:textId="4BA70932" w:rsidR="00D60106" w:rsidRPr="00BF7CD1" w:rsidRDefault="00D60106" w:rsidP="006A38EB">
      <w:pPr>
        <w:spacing w:line="276" w:lineRule="auto"/>
        <w:jc w:val="both"/>
        <w:rPr>
          <w:rFonts w:ascii="Times New Roman" w:hAnsi="Times New Roman" w:cs="Times New Roman"/>
        </w:rPr>
      </w:pPr>
      <w:r w:rsidRPr="00BF7CD1">
        <w:rPr>
          <w:rFonts w:ascii="Times New Roman" w:hAnsi="Times New Roman" w:cs="Times New Roman"/>
        </w:rPr>
        <w:lastRenderedPageBreak/>
        <w:t>Z przekrojów wynika że fasada F6d i przynajmniej częściowo F6c są nieprzezierne. Proszę o precyzyjną informację które fasady i w jakim zakresie (całe czy fragmenty) są nieprzezierne</w:t>
      </w:r>
    </w:p>
    <w:p w14:paraId="71DA3318" w14:textId="679A3AEF" w:rsidR="00BF7CD1" w:rsidRPr="00BF7CD1" w:rsidRDefault="00D60106" w:rsidP="00BF7CD1">
      <w:pPr>
        <w:spacing w:after="0"/>
        <w:rPr>
          <w:rFonts w:ascii="Times New Roman" w:hAnsi="Times New Roman" w:cs="Times New Roman"/>
        </w:rPr>
      </w:pPr>
      <w:r w:rsidRPr="00BF7CD1">
        <w:rPr>
          <w:rFonts w:ascii="Times New Roman" w:hAnsi="Times New Roman" w:cs="Times New Roman"/>
          <w:b/>
          <w:bCs/>
        </w:rPr>
        <w:t>Odpowiedź:</w:t>
      </w:r>
      <w:r w:rsidR="00BF7CD1" w:rsidRPr="00BF7CD1">
        <w:rPr>
          <w:rFonts w:ascii="Times New Roman" w:hAnsi="Times New Roman" w:cs="Times New Roman"/>
          <w:b/>
          <w:bCs/>
        </w:rPr>
        <w:t xml:space="preserve"> </w:t>
      </w:r>
      <w:r w:rsidR="00BF7CD1" w:rsidRPr="00BF7CD1">
        <w:rPr>
          <w:rFonts w:ascii="Times New Roman" w:hAnsi="Times New Roman" w:cs="Times New Roman"/>
        </w:rPr>
        <w:t>TAK, fasada 6d jest cała nieprzezierna, fasada 6c w części pd-zach + kwatera narożna części pd-wsch. – zgodnie z załączonym schematem pdf.</w:t>
      </w:r>
    </w:p>
    <w:p w14:paraId="5AE70206" w14:textId="77777777" w:rsidR="00BF7CD1" w:rsidRPr="00BF7CD1" w:rsidRDefault="00BF7CD1" w:rsidP="00BF7CD1">
      <w:pPr>
        <w:spacing w:after="0"/>
        <w:rPr>
          <w:rFonts w:ascii="Times New Roman" w:hAnsi="Times New Roman" w:cs="Times New Roman"/>
        </w:rPr>
      </w:pPr>
      <w:r w:rsidRPr="00BF7CD1">
        <w:rPr>
          <w:rFonts w:ascii="Times New Roman" w:hAnsi="Times New Roman" w:cs="Times New Roman"/>
        </w:rPr>
        <w:t>Załączam schematy rozmieszczenia kwater nieprzeziernych fasad zewnętrznych.</w:t>
      </w:r>
    </w:p>
    <w:p w14:paraId="6B458601" w14:textId="77777777" w:rsidR="00BF7CD1" w:rsidRPr="00BF7CD1" w:rsidRDefault="00BF7CD1" w:rsidP="00BF7CD1">
      <w:pPr>
        <w:spacing w:after="0"/>
        <w:rPr>
          <w:rFonts w:ascii="Times New Roman" w:hAnsi="Times New Roman" w:cs="Times New Roman"/>
        </w:rPr>
      </w:pPr>
      <w:r w:rsidRPr="00BF7CD1">
        <w:rPr>
          <w:rFonts w:ascii="Times New Roman" w:hAnsi="Times New Roman" w:cs="Times New Roman"/>
        </w:rPr>
        <w:t>Są to rysunki elewacji całego budynku z kwaterami nieprzeziernymi oznaczonymi kolorem ciemno-zielonym.</w:t>
      </w:r>
    </w:p>
    <w:p w14:paraId="3625D72D" w14:textId="77777777" w:rsidR="00021629" w:rsidRDefault="00021629" w:rsidP="00D60106">
      <w:pPr>
        <w:rPr>
          <w:rFonts w:ascii="Times New Roman" w:hAnsi="Times New Roman" w:cs="Times New Roman"/>
          <w:b/>
          <w:bCs/>
          <w:color w:val="FF0000"/>
        </w:rPr>
      </w:pPr>
    </w:p>
    <w:p w14:paraId="7B217748" w14:textId="74720EEA" w:rsidR="00563AD6" w:rsidRDefault="00563AD6" w:rsidP="00D60106">
      <w:pPr>
        <w:rPr>
          <w:rFonts w:ascii="Times New Roman" w:hAnsi="Times New Roman" w:cs="Times New Roman"/>
        </w:rPr>
      </w:pPr>
      <w:r w:rsidRPr="00105B7E">
        <w:rPr>
          <w:rFonts w:ascii="Times New Roman" w:hAnsi="Times New Roman" w:cs="Times New Roman"/>
          <w:b/>
          <w:bCs/>
        </w:rPr>
        <w:t>Pytanie 2</w:t>
      </w:r>
      <w:r w:rsidR="00AB1FB6" w:rsidRPr="00105B7E">
        <w:rPr>
          <w:rFonts w:ascii="Times New Roman" w:hAnsi="Times New Roman" w:cs="Times New Roman"/>
          <w:b/>
          <w:bCs/>
        </w:rPr>
        <w:t>4</w:t>
      </w:r>
      <w:r w:rsidRPr="00105B7E">
        <w:rPr>
          <w:rFonts w:ascii="Times New Roman" w:hAnsi="Times New Roman" w:cs="Times New Roman"/>
          <w:b/>
          <w:bCs/>
        </w:rPr>
        <w:t>.03.2025</w:t>
      </w:r>
      <w:r w:rsidRPr="00105B7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Proszę o udostępnienie aranżacje według</w:t>
      </w:r>
      <w:r w:rsidR="00923F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="00923FF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óre</w:t>
      </w:r>
      <w:r w:rsidR="00AB1FB6">
        <w:rPr>
          <w:rFonts w:ascii="Times New Roman" w:hAnsi="Times New Roman" w:cs="Times New Roman"/>
        </w:rPr>
        <w:t xml:space="preserve">j </w:t>
      </w:r>
      <w:r>
        <w:rPr>
          <w:rFonts w:ascii="Times New Roman" w:hAnsi="Times New Roman" w:cs="Times New Roman"/>
        </w:rPr>
        <w:t xml:space="preserve"> należy wycenić</w:t>
      </w:r>
      <w:r w:rsidR="005201D7">
        <w:rPr>
          <w:rFonts w:ascii="Times New Roman" w:hAnsi="Times New Roman" w:cs="Times New Roman"/>
        </w:rPr>
        <w:t xml:space="preserve"> biały montaż.</w:t>
      </w:r>
      <w:r w:rsidR="005201D7">
        <w:rPr>
          <w:rFonts w:ascii="Times New Roman" w:hAnsi="Times New Roman" w:cs="Times New Roman"/>
        </w:rPr>
        <w:br/>
        <w:t>Dodatkowo proszę o informacje czy przeglądy techniczne należy wykonać na własny koszt w okresie gwarancji.</w:t>
      </w:r>
      <w:r>
        <w:rPr>
          <w:rFonts w:ascii="Times New Roman" w:hAnsi="Times New Roman" w:cs="Times New Roman"/>
        </w:rPr>
        <w:t xml:space="preserve"> </w:t>
      </w:r>
    </w:p>
    <w:p w14:paraId="3E3AEC38" w14:textId="25999BE1" w:rsidR="00105B7E" w:rsidRPr="00BA3E84" w:rsidRDefault="00105B7E" w:rsidP="00105B7E">
      <w:pPr>
        <w:spacing w:after="0"/>
        <w:rPr>
          <w:rFonts w:ascii="Times New Roman" w:hAnsi="Times New Roman" w:cs="Times New Roman"/>
        </w:rPr>
      </w:pPr>
      <w:r w:rsidRPr="00105B7E">
        <w:rPr>
          <w:rFonts w:ascii="Times New Roman" w:hAnsi="Times New Roman" w:cs="Times New Roman"/>
          <w:b/>
          <w:bCs/>
        </w:rPr>
        <w:t xml:space="preserve">Odpowiedź: </w:t>
      </w:r>
      <w:r w:rsidR="00BA3E84" w:rsidRPr="00BA3E84">
        <w:rPr>
          <w:rFonts w:ascii="Times New Roman" w:hAnsi="Times New Roman" w:cs="Times New Roman"/>
        </w:rPr>
        <w:t xml:space="preserve">Biały montaż został uwzględniony w przedmiarze robót. </w:t>
      </w:r>
    </w:p>
    <w:p w14:paraId="74EE32D5" w14:textId="75729B38" w:rsidR="00BA3E84" w:rsidRPr="00BA3E84" w:rsidRDefault="00BA3E84" w:rsidP="00105B7E">
      <w:pPr>
        <w:spacing w:after="0"/>
        <w:rPr>
          <w:rFonts w:ascii="Times New Roman" w:hAnsi="Times New Roman" w:cs="Times New Roman"/>
        </w:rPr>
      </w:pPr>
      <w:r w:rsidRPr="00BA3E84">
        <w:rPr>
          <w:rFonts w:ascii="Times New Roman" w:hAnsi="Times New Roman" w:cs="Times New Roman"/>
        </w:rPr>
        <w:t>Przeglądy techniczne w okresie gwarancji nie są przedmiotem zamówienia.</w:t>
      </w:r>
    </w:p>
    <w:p w14:paraId="39474E93" w14:textId="1DDB91A6" w:rsidR="00105B7E" w:rsidRPr="00105B7E" w:rsidRDefault="00E73F16" w:rsidP="00105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Z poważaniem,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Wójt Gminy Rokietnica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Bartosz Derech</w:t>
      </w:r>
    </w:p>
    <w:sectPr w:rsidR="00105B7E" w:rsidRPr="0010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C17"/>
    <w:multiLevelType w:val="hybridMultilevel"/>
    <w:tmpl w:val="1932F3FE"/>
    <w:lvl w:ilvl="0" w:tplc="536E27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D31AF4"/>
    <w:multiLevelType w:val="hybridMultilevel"/>
    <w:tmpl w:val="42CA9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C7B"/>
    <w:multiLevelType w:val="hybridMultilevel"/>
    <w:tmpl w:val="8ADA3C94"/>
    <w:lvl w:ilvl="0" w:tplc="4CB67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68AD"/>
    <w:multiLevelType w:val="hybridMultilevel"/>
    <w:tmpl w:val="11229F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870DF6"/>
    <w:multiLevelType w:val="hybridMultilevel"/>
    <w:tmpl w:val="3D86A578"/>
    <w:lvl w:ilvl="0" w:tplc="354E38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264AC"/>
    <w:multiLevelType w:val="hybridMultilevel"/>
    <w:tmpl w:val="D8F85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69EC"/>
    <w:multiLevelType w:val="hybridMultilevel"/>
    <w:tmpl w:val="BCBC2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702EF"/>
    <w:multiLevelType w:val="hybridMultilevel"/>
    <w:tmpl w:val="80F4B0D6"/>
    <w:lvl w:ilvl="0" w:tplc="D7DCC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C634F"/>
    <w:multiLevelType w:val="hybridMultilevel"/>
    <w:tmpl w:val="92FA136A"/>
    <w:lvl w:ilvl="0" w:tplc="55B2FD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2F7861"/>
    <w:multiLevelType w:val="hybridMultilevel"/>
    <w:tmpl w:val="A71C8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F2F1A"/>
    <w:multiLevelType w:val="hybridMultilevel"/>
    <w:tmpl w:val="317CAAEC"/>
    <w:lvl w:ilvl="0" w:tplc="A83EF7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321"/>
    <w:multiLevelType w:val="hybridMultilevel"/>
    <w:tmpl w:val="848099CC"/>
    <w:lvl w:ilvl="0" w:tplc="536E27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93052C0"/>
    <w:multiLevelType w:val="hybridMultilevel"/>
    <w:tmpl w:val="81B0B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D8A9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B2B94"/>
    <w:multiLevelType w:val="hybridMultilevel"/>
    <w:tmpl w:val="340612D4"/>
    <w:lvl w:ilvl="0" w:tplc="55B2FD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07584"/>
    <w:multiLevelType w:val="hybridMultilevel"/>
    <w:tmpl w:val="18D282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1E292B"/>
    <w:multiLevelType w:val="hybridMultilevel"/>
    <w:tmpl w:val="2F589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B400B"/>
    <w:multiLevelType w:val="hybridMultilevel"/>
    <w:tmpl w:val="FFDE6A7A"/>
    <w:lvl w:ilvl="0" w:tplc="FC783614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E4BF3"/>
    <w:multiLevelType w:val="hybridMultilevel"/>
    <w:tmpl w:val="E132F952"/>
    <w:lvl w:ilvl="0" w:tplc="536E27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596001"/>
    <w:multiLevelType w:val="hybridMultilevel"/>
    <w:tmpl w:val="A00C81DC"/>
    <w:lvl w:ilvl="0" w:tplc="27D69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7394">
    <w:abstractNumId w:val="15"/>
  </w:num>
  <w:num w:numId="2" w16cid:durableId="339699197">
    <w:abstractNumId w:val="12"/>
  </w:num>
  <w:num w:numId="3" w16cid:durableId="42992400">
    <w:abstractNumId w:val="1"/>
  </w:num>
  <w:num w:numId="4" w16cid:durableId="619264646">
    <w:abstractNumId w:val="14"/>
  </w:num>
  <w:num w:numId="5" w16cid:durableId="1505589370">
    <w:abstractNumId w:val="8"/>
  </w:num>
  <w:num w:numId="6" w16cid:durableId="1191525455">
    <w:abstractNumId w:val="13"/>
  </w:num>
  <w:num w:numId="7" w16cid:durableId="672755932">
    <w:abstractNumId w:val="16"/>
  </w:num>
  <w:num w:numId="8" w16cid:durableId="1753966276">
    <w:abstractNumId w:val="10"/>
  </w:num>
  <w:num w:numId="9" w16cid:durableId="1415011908">
    <w:abstractNumId w:val="3"/>
  </w:num>
  <w:num w:numId="10" w16cid:durableId="70124907">
    <w:abstractNumId w:val="0"/>
  </w:num>
  <w:num w:numId="11" w16cid:durableId="1502576320">
    <w:abstractNumId w:val="11"/>
  </w:num>
  <w:num w:numId="12" w16cid:durableId="364254992">
    <w:abstractNumId w:val="17"/>
  </w:num>
  <w:num w:numId="13" w16cid:durableId="1567111855">
    <w:abstractNumId w:val="6"/>
  </w:num>
  <w:num w:numId="14" w16cid:durableId="1326661791">
    <w:abstractNumId w:val="9"/>
  </w:num>
  <w:num w:numId="15" w16cid:durableId="118845915">
    <w:abstractNumId w:val="2"/>
  </w:num>
  <w:num w:numId="16" w16cid:durableId="35473989">
    <w:abstractNumId w:val="7"/>
  </w:num>
  <w:num w:numId="17" w16cid:durableId="374699456">
    <w:abstractNumId w:val="4"/>
  </w:num>
  <w:num w:numId="18" w16cid:durableId="395013087">
    <w:abstractNumId w:val="18"/>
  </w:num>
  <w:num w:numId="19" w16cid:durableId="1962375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26"/>
    <w:rsid w:val="00021629"/>
    <w:rsid w:val="00045EE8"/>
    <w:rsid w:val="00063DCA"/>
    <w:rsid w:val="00105B7E"/>
    <w:rsid w:val="00161269"/>
    <w:rsid w:val="00183EA9"/>
    <w:rsid w:val="001B025A"/>
    <w:rsid w:val="001D1F4E"/>
    <w:rsid w:val="00232CC8"/>
    <w:rsid w:val="00277773"/>
    <w:rsid w:val="00284485"/>
    <w:rsid w:val="002B2078"/>
    <w:rsid w:val="00346A43"/>
    <w:rsid w:val="003C4AAC"/>
    <w:rsid w:val="003E7A5B"/>
    <w:rsid w:val="0041196C"/>
    <w:rsid w:val="0041751F"/>
    <w:rsid w:val="004204F3"/>
    <w:rsid w:val="00472995"/>
    <w:rsid w:val="004A2452"/>
    <w:rsid w:val="004D189C"/>
    <w:rsid w:val="005201D7"/>
    <w:rsid w:val="005229E0"/>
    <w:rsid w:val="005230C4"/>
    <w:rsid w:val="00555919"/>
    <w:rsid w:val="00563AD6"/>
    <w:rsid w:val="005C506C"/>
    <w:rsid w:val="005E5808"/>
    <w:rsid w:val="006918B6"/>
    <w:rsid w:val="00696C83"/>
    <w:rsid w:val="006A38EB"/>
    <w:rsid w:val="0072771D"/>
    <w:rsid w:val="007514A1"/>
    <w:rsid w:val="007A1273"/>
    <w:rsid w:val="00820F64"/>
    <w:rsid w:val="00902814"/>
    <w:rsid w:val="00923FFF"/>
    <w:rsid w:val="009357A9"/>
    <w:rsid w:val="009A681A"/>
    <w:rsid w:val="009B1F61"/>
    <w:rsid w:val="009C709D"/>
    <w:rsid w:val="00A27751"/>
    <w:rsid w:val="00A302C2"/>
    <w:rsid w:val="00A54006"/>
    <w:rsid w:val="00A804CB"/>
    <w:rsid w:val="00A9471F"/>
    <w:rsid w:val="00AA2A97"/>
    <w:rsid w:val="00AA5447"/>
    <w:rsid w:val="00AB1FB6"/>
    <w:rsid w:val="00B40B6F"/>
    <w:rsid w:val="00B40C40"/>
    <w:rsid w:val="00BA0605"/>
    <w:rsid w:val="00BA0709"/>
    <w:rsid w:val="00BA3E84"/>
    <w:rsid w:val="00BC2A15"/>
    <w:rsid w:val="00BF7CD1"/>
    <w:rsid w:val="00C117C4"/>
    <w:rsid w:val="00C33626"/>
    <w:rsid w:val="00C870E8"/>
    <w:rsid w:val="00CB46AE"/>
    <w:rsid w:val="00CE67BE"/>
    <w:rsid w:val="00D03281"/>
    <w:rsid w:val="00D048F9"/>
    <w:rsid w:val="00D60106"/>
    <w:rsid w:val="00D7338F"/>
    <w:rsid w:val="00DA7CEC"/>
    <w:rsid w:val="00E73F16"/>
    <w:rsid w:val="00EB3B27"/>
    <w:rsid w:val="00F3700C"/>
    <w:rsid w:val="00F37079"/>
    <w:rsid w:val="00F534B2"/>
    <w:rsid w:val="00F708CF"/>
    <w:rsid w:val="00F7322C"/>
    <w:rsid w:val="00F8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3247"/>
  <w15:chartTrackingRefBased/>
  <w15:docId w15:val="{8FFF166F-CC67-4269-AC5F-35714968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EA9"/>
  </w:style>
  <w:style w:type="paragraph" w:styleId="Nagwek1">
    <w:name w:val="heading 1"/>
    <w:basedOn w:val="Normalny"/>
    <w:next w:val="Normalny"/>
    <w:link w:val="Nagwek1Znak"/>
    <w:uiPriority w:val="9"/>
    <w:qFormat/>
    <w:rsid w:val="00C3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6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6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6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6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6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6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6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83EA9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336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6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62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62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62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6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6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6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6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6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6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6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33626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6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626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626"/>
    <w:rPr>
      <w:b/>
      <w:bCs/>
      <w:smallCaps/>
      <w:color w:val="365F9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708C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8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4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C4A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8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74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2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5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3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07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1257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ROKIETNICA</dc:creator>
  <cp:keywords/>
  <dc:description/>
  <cp:lastModifiedBy>GMINA ROKIETNICA</cp:lastModifiedBy>
  <cp:revision>18</cp:revision>
  <cp:lastPrinted>2025-03-24T17:12:00Z</cp:lastPrinted>
  <dcterms:created xsi:type="dcterms:W3CDTF">2025-03-21T14:47:00Z</dcterms:created>
  <dcterms:modified xsi:type="dcterms:W3CDTF">2025-03-25T07:35:00Z</dcterms:modified>
</cp:coreProperties>
</file>