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14D" w:rsidRPr="00DF51E6" w:rsidRDefault="00FE014D" w:rsidP="00DF51E6">
      <w:pPr>
        <w:suppressAutoHyphens/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6C77" w:rsidRPr="00DF51E6" w:rsidRDefault="00536C77" w:rsidP="00DF51E6">
      <w:pPr>
        <w:spacing w:after="120" w:line="240" w:lineRule="auto"/>
        <w:rPr>
          <w:rFonts w:ascii="Calibri" w:eastAsiaTheme="minorEastAsia" w:hAnsi="Calibri" w:cs="Calibri"/>
          <w:iCs/>
          <w:sz w:val="24"/>
          <w:szCs w:val="24"/>
        </w:rPr>
      </w:pPr>
      <w:r w:rsidRPr="00DF51E6">
        <w:rPr>
          <w:rFonts w:ascii="Calibri" w:eastAsiaTheme="minorEastAsia" w:hAnsi="Calibri" w:cs="Calibri"/>
          <w:iCs/>
          <w:sz w:val="24"/>
          <w:szCs w:val="24"/>
        </w:rPr>
        <w:t>Pojawiające</w:t>
      </w:r>
      <w:r w:rsidR="00CD2BB1" w:rsidRPr="00DF51E6">
        <w:rPr>
          <w:rFonts w:ascii="Calibri" w:eastAsiaTheme="minorEastAsia" w:hAnsi="Calibri" w:cs="Calibri"/>
          <w:iCs/>
          <w:sz w:val="24"/>
          <w:szCs w:val="24"/>
        </w:rPr>
        <w:t xml:space="preserve"> </w:t>
      </w:r>
      <w:r w:rsidRPr="00DF51E6">
        <w:rPr>
          <w:rFonts w:ascii="Calibri" w:eastAsiaTheme="minorEastAsia" w:hAnsi="Calibri" w:cs="Calibri"/>
          <w:iCs/>
          <w:sz w:val="24"/>
          <w:szCs w:val="24"/>
        </w:rPr>
        <w:t>się w opisie</w:t>
      </w:r>
      <w:r w:rsidR="00CD2BB1" w:rsidRPr="00DF51E6">
        <w:rPr>
          <w:rFonts w:ascii="Calibri" w:eastAsiaTheme="minorEastAsia" w:hAnsi="Calibri" w:cs="Calibri"/>
          <w:iCs/>
          <w:sz w:val="24"/>
          <w:szCs w:val="24"/>
        </w:rPr>
        <w:t xml:space="preserve"> </w:t>
      </w:r>
      <w:r w:rsidRPr="00DF51E6">
        <w:rPr>
          <w:rFonts w:ascii="Calibri" w:eastAsiaTheme="minorEastAsia" w:hAnsi="Calibri" w:cs="Calibri"/>
          <w:iCs/>
          <w:sz w:val="24"/>
          <w:szCs w:val="24"/>
        </w:rPr>
        <w:t>parametry techniczne i jakościowe wyposażenia należy traktować, jako określenie wymaganego minimalnego standardu i parametrów technicznych. Wykonawca może zaproponować Zamawiającemu przedmiot zamówienia o lepszych parametrach technicznych. Ostateczna kolorystyka wyposażenia oraz detale wykończenia zostaną określone z wybranym w postępowaniu Wykonawcą.</w:t>
      </w:r>
    </w:p>
    <w:p w:rsidR="00536C77" w:rsidRPr="00DF51E6" w:rsidRDefault="00536C77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Theme="minorEastAsia" w:hAnsi="Calibri" w:cs="Calibri"/>
          <w:kern w:val="2"/>
          <w:sz w:val="24"/>
          <w:szCs w:val="24"/>
          <w:lang w:eastAsia="pl-PL"/>
          <w14:ligatures w14:val="standardContextual"/>
        </w:rPr>
        <w:t xml:space="preserve">Wszystkie wymiary podano wg zasady: szerokość (długość) x głębokość x wysokość. 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Dopuszcza się tolerancję wymiarów i parametrów +/- 5%.</w:t>
      </w:r>
    </w:p>
    <w:p w:rsidR="00536C77" w:rsidRPr="00DF51E6" w:rsidRDefault="00536C77" w:rsidP="00DF51E6">
      <w:pPr>
        <w:spacing w:after="120" w:line="240" w:lineRule="auto"/>
        <w:rPr>
          <w:rFonts w:ascii="Calibri" w:eastAsiaTheme="minorEastAsia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Theme="minorEastAsia" w:hAnsi="Calibri" w:cs="Calibri"/>
          <w:kern w:val="2"/>
          <w:sz w:val="24"/>
          <w:szCs w:val="24"/>
          <w:lang w:eastAsia="pl-PL"/>
          <w14:ligatures w14:val="standardContextual"/>
        </w:rPr>
        <w:t xml:space="preserve">Przedstawione zdjęcia są poglądowe i mają na celu pokazanie Wykonawcy, jakiego stylu wyposażenia oczekuje Zamawiający. </w:t>
      </w:r>
    </w:p>
    <w:p w:rsidR="00536C77" w:rsidRPr="00DF51E6" w:rsidRDefault="00536C77" w:rsidP="00DF51E6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DF51E6">
        <w:rPr>
          <w:rFonts w:ascii="Calibri" w:hAnsi="Calibri" w:cs="Calibri"/>
          <w:sz w:val="24"/>
          <w:szCs w:val="24"/>
        </w:rPr>
        <w:t>Wszystkie użyte materiały, z k</w:t>
      </w:r>
      <w:r w:rsidR="00316A2E" w:rsidRPr="00DF51E6">
        <w:rPr>
          <w:rFonts w:ascii="Calibri" w:hAnsi="Calibri" w:cs="Calibri"/>
          <w:sz w:val="24"/>
          <w:szCs w:val="24"/>
        </w:rPr>
        <w:t>tórych wykonane jest wyposażenie</w:t>
      </w:r>
      <w:r w:rsidRPr="00DF51E6">
        <w:rPr>
          <w:rFonts w:ascii="Calibri" w:hAnsi="Calibri" w:cs="Calibri"/>
          <w:sz w:val="24"/>
          <w:szCs w:val="24"/>
        </w:rPr>
        <w:t xml:space="preserve">, jako produkt gotowy muszą być dopuszczone do obrotu na terytorium RP, posiadać wszelkie wymagane przez przepisy prawa świadectwa, certyfikaty, atesty, deklaracje zgodności oraz spełniać wszelkie wymagane przez przepisy prawa wymogi w zakresie norm bezpieczeństwa. </w:t>
      </w:r>
    </w:p>
    <w:p w:rsidR="00FE014D" w:rsidRPr="00DF51E6" w:rsidRDefault="00FE014D" w:rsidP="00DF51E6">
      <w:pPr>
        <w:suppressAutoHyphens/>
        <w:spacing w:after="120" w:line="240" w:lineRule="auto"/>
        <w:rPr>
          <w:rFonts w:ascii="Calibri" w:eastAsia="Times New Roman" w:hAnsi="Calibri" w:cs="Calibri"/>
          <w:bCs/>
          <w:kern w:val="2"/>
          <w:sz w:val="24"/>
          <w:szCs w:val="24"/>
          <w:lang w:eastAsia="ar-SA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7"/>
      </w:tblGrid>
      <w:tr w:rsidR="00FE014D" w:rsidRPr="00DF51E6" w:rsidTr="00674132">
        <w:tc>
          <w:tcPr>
            <w:tcW w:w="1129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FE014D" w:rsidRPr="00DF51E6" w:rsidTr="00674132">
        <w:tc>
          <w:tcPr>
            <w:tcW w:w="1129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46.</w:t>
            </w:r>
          </w:p>
        </w:tc>
        <w:tc>
          <w:tcPr>
            <w:tcW w:w="1134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ŁO</w:t>
            </w:r>
          </w:p>
        </w:tc>
        <w:tc>
          <w:tcPr>
            <w:tcW w:w="6799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Łóżko</w:t>
            </w:r>
            <w:r w:rsidR="00993925" w:rsidRPr="00DF51E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szpitalne</w:t>
            </w:r>
          </w:p>
        </w:tc>
      </w:tr>
    </w:tbl>
    <w:p w:rsidR="007C4700" w:rsidRPr="00DF51E6" w:rsidRDefault="007C4700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</w:p>
    <w:p w:rsidR="002102E2" w:rsidRPr="00DF51E6" w:rsidRDefault="007C4700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 xml:space="preserve">Łóżko szpitalne przystosowane </w:t>
      </w:r>
      <w:r w:rsidR="00C95B20" w:rsidRPr="00DF51E6">
        <w:rPr>
          <w:rFonts w:ascii="Calibri" w:hAnsi="Calibri" w:cs="Calibri"/>
          <w:sz w:val="24"/>
          <w:szCs w:val="24"/>
          <w:lang w:val="pl-PL"/>
        </w:rPr>
        <w:t xml:space="preserve">dla pacjentów </w:t>
      </w:r>
      <w:r w:rsidRPr="00DF51E6">
        <w:rPr>
          <w:rFonts w:ascii="Calibri" w:hAnsi="Calibri" w:cs="Calibri"/>
          <w:sz w:val="24"/>
          <w:szCs w:val="24"/>
          <w:lang w:val="pl-PL"/>
        </w:rPr>
        <w:t>szpitali psychiatrycznych</w:t>
      </w:r>
      <w:r w:rsidR="00073D55" w:rsidRPr="00DF51E6">
        <w:rPr>
          <w:rFonts w:ascii="Calibri" w:hAnsi="Calibri" w:cs="Calibri"/>
          <w:sz w:val="24"/>
          <w:szCs w:val="24"/>
          <w:lang w:val="pl-PL"/>
        </w:rPr>
        <w:t>, sterowane przewodowym pilotem LCD.</w:t>
      </w:r>
      <w:r w:rsidR="00073D55" w:rsidRPr="00DF51E6">
        <w:rPr>
          <w:rFonts w:ascii="Calibri" w:hAnsi="Calibri" w:cs="Calibri"/>
          <w:sz w:val="24"/>
          <w:szCs w:val="24"/>
        </w:rPr>
        <w:t xml:space="preserve"> </w:t>
      </w:r>
      <w:r w:rsidR="00073D55" w:rsidRPr="00DF51E6">
        <w:rPr>
          <w:rFonts w:ascii="Calibri" w:hAnsi="Calibri" w:cs="Calibri"/>
          <w:sz w:val="24"/>
          <w:szCs w:val="24"/>
          <w:lang w:val="pl-PL"/>
        </w:rPr>
        <w:t>Elektryczna regulacja wysokości łóżka w zakresie: 28 cm do 85 cm (+/- 2 cm).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>Metalowa konstrukcja łóżka lakierowana proszkowo. Podstawa łóżka pozbawiona kabli oraz układów sterujących funkcjami łóżka. Podstawa łóżka pantograf podpierająca leże w minimum 8 punktach, gwarantująca stabilność leża. Wolna przestrzeń pomiędzy podłożem, a całym podwoziem wynosząca nie mniej niż 1</w:t>
      </w:r>
      <w:r w:rsidR="00930C1F" w:rsidRPr="00DF51E6">
        <w:rPr>
          <w:rFonts w:ascii="Calibri" w:hAnsi="Calibri" w:cs="Calibri"/>
          <w:sz w:val="24"/>
          <w:szCs w:val="24"/>
          <w:lang w:val="pl-PL"/>
        </w:rPr>
        <w:t>4</w:t>
      </w:r>
      <w:r w:rsidRPr="00DF51E6">
        <w:rPr>
          <w:rFonts w:ascii="Calibri" w:hAnsi="Calibri" w:cs="Calibri"/>
          <w:sz w:val="24"/>
          <w:szCs w:val="24"/>
          <w:lang w:val="pl-PL"/>
        </w:rPr>
        <w:t xml:space="preserve"> cm umożliwiająca łatwy przejazd przez progi oraz wjazd do dźwigów osobowych.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>Wymiary zewnętrzne łóżka: długość całkowita: 216 cm (+/- 4 cm); szerokość całkowita wraz z zamontowanymi barierkami: maksymalnie 100 cm.</w:t>
      </w:r>
      <w:r w:rsidR="00BA65B9" w:rsidRPr="00DF51E6">
        <w:rPr>
          <w:rFonts w:ascii="Calibri" w:hAnsi="Calibri" w:cs="Calibri"/>
          <w:sz w:val="24"/>
          <w:szCs w:val="24"/>
          <w:lang w:val="pl-PL"/>
        </w:rPr>
        <w:t xml:space="preserve"> Leże łóżka przystosowane do </w:t>
      </w:r>
      <w:r w:rsidR="00736F01" w:rsidRPr="00DF51E6">
        <w:rPr>
          <w:rFonts w:ascii="Calibri" w:hAnsi="Calibri" w:cs="Calibri"/>
          <w:sz w:val="24"/>
          <w:szCs w:val="24"/>
          <w:lang w:val="pl-PL"/>
        </w:rPr>
        <w:t>materaca z poz. 48 niniejszej Specyfikacji.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 xml:space="preserve">Leże łóżka czterosegmentowe z czego minimum 3 segmenty ruchome. Rama leża wyposażona w gniazdo wyrównania potencjału. 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>Elektryczne regulacje: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>- segment oparcia pleców 0-75° (± 5°),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>- segment uda 0-45° (± 5°),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 xml:space="preserve">- kąt przechyłu </w:t>
      </w:r>
      <w:proofErr w:type="spellStart"/>
      <w:r w:rsidRPr="00DF51E6">
        <w:rPr>
          <w:rFonts w:ascii="Calibri" w:hAnsi="Calibri" w:cs="Calibri"/>
          <w:sz w:val="24"/>
          <w:szCs w:val="24"/>
          <w:lang w:val="pl-PL"/>
        </w:rPr>
        <w:t>Trendlelenburga</w:t>
      </w:r>
      <w:proofErr w:type="spellEnd"/>
      <w:r w:rsidRPr="00DF51E6">
        <w:rPr>
          <w:rFonts w:ascii="Calibri" w:hAnsi="Calibri" w:cs="Calibri"/>
          <w:sz w:val="24"/>
          <w:szCs w:val="24"/>
          <w:lang w:val="pl-PL"/>
        </w:rPr>
        <w:t xml:space="preserve"> 0-16° (± 2°),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lastRenderedPageBreak/>
        <w:t>- kąt przechyłu anty-</w:t>
      </w:r>
      <w:proofErr w:type="spellStart"/>
      <w:r w:rsidRPr="00DF51E6">
        <w:rPr>
          <w:rFonts w:ascii="Calibri" w:hAnsi="Calibri" w:cs="Calibri"/>
          <w:sz w:val="24"/>
          <w:szCs w:val="24"/>
          <w:lang w:val="pl-PL"/>
        </w:rPr>
        <w:t>Trendlenburga</w:t>
      </w:r>
      <w:proofErr w:type="spellEnd"/>
      <w:r w:rsidRPr="00DF51E6">
        <w:rPr>
          <w:rFonts w:ascii="Calibri" w:hAnsi="Calibri" w:cs="Calibri"/>
          <w:sz w:val="24"/>
          <w:szCs w:val="24"/>
          <w:lang w:val="pl-PL"/>
        </w:rPr>
        <w:t xml:space="preserve"> 0-16° (± 2°),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>- regulacja segmentu podudzia – ręczna mechanizmem zapadkowym.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>Segment oparcia pleców z możliwością mechanicznego szybkiego poziomowania (CPR) – dźwignia umieszczona pod leżem, oznaczona kolorem.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proofErr w:type="spellStart"/>
      <w:r w:rsidRPr="00DF51E6">
        <w:rPr>
          <w:rFonts w:ascii="Calibri" w:hAnsi="Calibri" w:cs="Calibri"/>
          <w:sz w:val="24"/>
          <w:szCs w:val="24"/>
          <w:lang w:val="pl-PL"/>
        </w:rPr>
        <w:t>Autokontur</w:t>
      </w:r>
      <w:proofErr w:type="spellEnd"/>
      <w:r w:rsidRPr="00DF51E6">
        <w:rPr>
          <w:rFonts w:ascii="Calibri" w:hAnsi="Calibri" w:cs="Calibri"/>
          <w:sz w:val="24"/>
          <w:szCs w:val="24"/>
          <w:lang w:val="pl-PL"/>
        </w:rPr>
        <w:t xml:space="preserve"> segmentu oparcia pleców i uda. Autoregresja segmentu oparcia pleców zapobiegająca przed zsuwaniem pacjenta.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>Leże wypełnione płytami z polipropylenu, tworzywa odpornego na działanie wysokiej temperatury, środków dezynfekujących oraz działanie UV. Płyty odejmowane bez użycia narzędzi.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DF51E6">
        <w:rPr>
          <w:rFonts w:ascii="Calibri" w:hAnsi="Calibri" w:cs="Calibri"/>
          <w:sz w:val="24"/>
          <w:szCs w:val="24"/>
          <w:lang w:val="pl-PL"/>
        </w:rPr>
        <w:t>W płytach specjalne otwory do montażu pasów do unieruchomienia pacjenta.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 xml:space="preserve">Akumulator wbudowany w układ elektryczny łóżka podtrzymujący sterowanie łóżka przy braku zasilania sieciowego 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>Szczyty łóżka wyjmowane z ramy leża z możliwością blokady na czas transportu za pomocą dwóch suwaków (zarówno od strony głowy jak i stóp) wypełnione płytą dwustronnie laminowaną o grubości min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 xml:space="preserve">imum </w:t>
      </w:r>
      <w:r w:rsidRPr="00DF51E6">
        <w:rPr>
          <w:rFonts w:ascii="Calibri" w:hAnsi="Calibri" w:cs="Calibri"/>
          <w:sz w:val="24"/>
          <w:szCs w:val="24"/>
          <w:lang w:val="pl-PL"/>
        </w:rPr>
        <w:t>8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DF51E6">
        <w:rPr>
          <w:rFonts w:ascii="Calibri" w:hAnsi="Calibri" w:cs="Calibri"/>
          <w:sz w:val="24"/>
          <w:szCs w:val="24"/>
          <w:lang w:val="pl-PL"/>
        </w:rPr>
        <w:t>mm, montowaną na stałe z ramą szczytu, którego pionowe słupki wykonane z aluminium łączy uchwyt do przetaczania ze stali nierdzewnej.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DF51E6">
        <w:rPr>
          <w:rFonts w:ascii="Calibri" w:hAnsi="Calibri" w:cs="Calibri"/>
          <w:sz w:val="24"/>
          <w:szCs w:val="24"/>
          <w:lang w:val="pl-PL"/>
        </w:rPr>
        <w:t>Szczyty łatwe w dezynfekcji, odporne na środki dezynfekcyjne oraz promieniowanie UV.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>Barierki zabezpieczające na wysokości min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>imum</w:t>
      </w:r>
      <w:r w:rsidRPr="00DF51E6">
        <w:rPr>
          <w:rFonts w:ascii="Calibri" w:hAnsi="Calibri" w:cs="Calibri"/>
          <w:sz w:val="24"/>
          <w:szCs w:val="24"/>
          <w:lang w:val="pl-PL"/>
        </w:rPr>
        <w:t xml:space="preserve"> 41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DF51E6">
        <w:rPr>
          <w:rFonts w:ascii="Calibri" w:hAnsi="Calibri" w:cs="Calibri"/>
          <w:sz w:val="24"/>
          <w:szCs w:val="24"/>
          <w:lang w:val="pl-PL"/>
        </w:rPr>
        <w:t xml:space="preserve">cm licząc od górnej części leża do szczytu barierki. Łózko wyposażone w cztery opuszczane i składane na ramę leża niezależnie aluminiowe barierki boczne, zabezpieczające pacjenta na całej długości. Każda barierka umożliwia wykorzystanie jako słupek ułatwiający wstawanie lub siadanie. 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>Wysuwana półka do odkładania pościeli, nie wystająca poza obrys ramy łóżka z dopuszczalnym obciążeniem min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 xml:space="preserve">imum </w:t>
      </w:r>
      <w:r w:rsidRPr="00DF51E6">
        <w:rPr>
          <w:rFonts w:ascii="Calibri" w:hAnsi="Calibri" w:cs="Calibri"/>
          <w:sz w:val="24"/>
          <w:szCs w:val="24"/>
          <w:lang w:val="pl-PL"/>
        </w:rPr>
        <w:t>15 kg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 xml:space="preserve">. </w:t>
      </w:r>
      <w:r w:rsidRPr="00DF51E6">
        <w:rPr>
          <w:rFonts w:ascii="Calibri" w:hAnsi="Calibri" w:cs="Calibri"/>
          <w:sz w:val="24"/>
          <w:szCs w:val="24"/>
          <w:lang w:val="pl-PL"/>
        </w:rPr>
        <w:t>W narożnikach leża 4 krążki odbojowe chroniące przed otarciami.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>Łóżko wyposażone w elastyczne tworzywowe uchwyty materaca min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>imum</w:t>
      </w:r>
      <w:r w:rsidRPr="00DF51E6">
        <w:rPr>
          <w:rFonts w:ascii="Calibri" w:hAnsi="Calibri" w:cs="Calibri"/>
          <w:sz w:val="24"/>
          <w:szCs w:val="24"/>
          <w:lang w:val="pl-PL"/>
        </w:rPr>
        <w:t xml:space="preserve"> dwóch segmentach leża, dostosowujące się do szerokości materaca. 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>Podstawa łóżka jezdna wyposażona w antystatyczne koła o średnicy min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 xml:space="preserve">imum </w:t>
      </w:r>
      <w:r w:rsidRPr="00DF51E6">
        <w:rPr>
          <w:rFonts w:ascii="Calibri" w:hAnsi="Calibri" w:cs="Calibri"/>
          <w:sz w:val="24"/>
          <w:szCs w:val="24"/>
          <w:lang w:val="pl-PL"/>
        </w:rPr>
        <w:t>15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 xml:space="preserve"> c</w:t>
      </w:r>
      <w:r w:rsidRPr="00DF51E6">
        <w:rPr>
          <w:rFonts w:ascii="Calibri" w:hAnsi="Calibri" w:cs="Calibri"/>
          <w:sz w:val="24"/>
          <w:szCs w:val="24"/>
          <w:lang w:val="pl-PL"/>
        </w:rPr>
        <w:t>m, z centralną blokadą kół oraz blokadą kierunkową.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>Bezpieczne obciążenie min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>imum</w:t>
      </w:r>
      <w:r w:rsidRPr="00DF51E6">
        <w:rPr>
          <w:rFonts w:ascii="Calibri" w:hAnsi="Calibri" w:cs="Calibri"/>
          <w:sz w:val="24"/>
          <w:szCs w:val="24"/>
          <w:lang w:val="pl-PL"/>
        </w:rPr>
        <w:t xml:space="preserve"> 260 kg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>Zasilanie elektryczne 220/230 V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>; s</w:t>
      </w:r>
      <w:r w:rsidRPr="00DF51E6">
        <w:rPr>
          <w:rFonts w:ascii="Calibri" w:hAnsi="Calibri" w:cs="Calibri"/>
          <w:sz w:val="24"/>
          <w:szCs w:val="24"/>
          <w:lang w:val="pl-PL"/>
        </w:rPr>
        <w:t>zczelność układu elektrycznego IPX6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>.</w:t>
      </w:r>
      <w:r w:rsidR="00DF51E6" w:rsidRPr="00DF51E6">
        <w:t xml:space="preserve"> </w:t>
      </w:r>
      <w:r w:rsidR="00DF51E6">
        <w:t>Ł</w:t>
      </w:r>
      <w:proofErr w:type="spellStart"/>
      <w:r w:rsidR="00DF51E6" w:rsidRPr="00DF51E6">
        <w:rPr>
          <w:rFonts w:ascii="Calibri" w:hAnsi="Calibri" w:cs="Calibri"/>
          <w:sz w:val="24"/>
          <w:szCs w:val="24"/>
          <w:lang w:val="pl-PL"/>
        </w:rPr>
        <w:t>óżko</w:t>
      </w:r>
      <w:proofErr w:type="spellEnd"/>
      <w:r w:rsidR="00DF51E6" w:rsidRPr="00DF51E6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DF51E6">
        <w:rPr>
          <w:rFonts w:ascii="Calibri" w:hAnsi="Calibri" w:cs="Calibri"/>
          <w:sz w:val="24"/>
          <w:szCs w:val="24"/>
          <w:lang w:val="pl-PL"/>
        </w:rPr>
        <w:t>p</w:t>
      </w:r>
      <w:r w:rsidR="00DF51E6" w:rsidRPr="00DF51E6">
        <w:rPr>
          <w:rFonts w:ascii="Calibri" w:hAnsi="Calibri" w:cs="Calibri"/>
          <w:sz w:val="24"/>
          <w:szCs w:val="24"/>
          <w:lang w:val="pl-PL"/>
        </w:rPr>
        <w:t>rzebadane będzie pod kątem bezpieczeństwa elektrycznego.</w:t>
      </w:r>
    </w:p>
    <w:p w:rsidR="00073D55" w:rsidRPr="00DF51E6" w:rsidRDefault="00073D5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sz w:val="24"/>
          <w:szCs w:val="24"/>
          <w:lang w:val="pl-PL"/>
        </w:rPr>
        <w:t xml:space="preserve">Łóżko wyposażone w panel sterujący chowany pod leżem w półce do odkładania pościeli 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>(</w:t>
      </w:r>
      <w:r w:rsidRPr="00DF51E6">
        <w:rPr>
          <w:rFonts w:ascii="Calibri" w:hAnsi="Calibri" w:cs="Calibri"/>
          <w:sz w:val="24"/>
          <w:szCs w:val="24"/>
          <w:lang w:val="pl-PL"/>
        </w:rPr>
        <w:t>możliwoś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 xml:space="preserve">ć </w:t>
      </w:r>
      <w:r w:rsidRPr="00DF51E6">
        <w:rPr>
          <w:rFonts w:ascii="Calibri" w:hAnsi="Calibri" w:cs="Calibri"/>
          <w:sz w:val="24"/>
          <w:szCs w:val="24"/>
          <w:lang w:val="pl-PL"/>
        </w:rPr>
        <w:t>instalacji na szczycie łózka</w:t>
      </w:r>
      <w:r w:rsidR="008167A3" w:rsidRPr="00DF51E6">
        <w:rPr>
          <w:rFonts w:ascii="Calibri" w:hAnsi="Calibri" w:cs="Calibri"/>
          <w:sz w:val="24"/>
          <w:szCs w:val="24"/>
          <w:lang w:val="pl-PL"/>
        </w:rPr>
        <w:t>)</w:t>
      </w:r>
      <w:r w:rsidRPr="00DF51E6">
        <w:rPr>
          <w:rFonts w:ascii="Calibri" w:hAnsi="Calibri" w:cs="Calibri"/>
          <w:sz w:val="24"/>
          <w:szCs w:val="24"/>
          <w:lang w:val="pl-PL"/>
        </w:rPr>
        <w:t xml:space="preserve">. Panel wyposażony w podwójne zabezpieczenie przed przypadkowym uruchomieniem funkcji elektrycznych z możliwością blokady poszczególnych funkcji pilota. Panel sterujący wyposażony w funkcję regulacji segmentu oparcia pleców, uda, wysokości leża, pozycji wzdłużnych, funkcji anty-szokowej, egzaminacyjnej, CPR, krzesła kardiologicznego. Posiada również optyczny wskaźnik naładowania akumulatora oraz podłączenia do sieci. </w:t>
      </w:r>
    </w:p>
    <w:p w:rsidR="00DF51E6" w:rsidRPr="007771AB" w:rsidRDefault="00993925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lastRenderedPageBreak/>
        <w:t>Łóżko szpitalne</w:t>
      </w:r>
      <w:r w:rsidR="005C1E69" w:rsidRPr="007771AB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E21E84" w:rsidRPr="007771AB">
        <w:rPr>
          <w:rFonts w:ascii="Calibri" w:hAnsi="Calibri" w:cs="Calibri"/>
          <w:sz w:val="24"/>
          <w:szCs w:val="24"/>
          <w:lang w:val="pl-PL"/>
        </w:rPr>
        <w:t>j</w:t>
      </w:r>
      <w:r w:rsidR="00DF51E6" w:rsidRPr="007771AB">
        <w:rPr>
          <w:rFonts w:ascii="Calibri" w:hAnsi="Calibri" w:cs="Calibri"/>
          <w:sz w:val="24"/>
          <w:szCs w:val="24"/>
          <w:lang w:val="pl-PL"/>
        </w:rPr>
        <w:t xml:space="preserve">est wyrobem </w:t>
      </w:r>
      <w:r w:rsidR="00E21E84" w:rsidRPr="007771AB">
        <w:rPr>
          <w:rFonts w:ascii="Calibri" w:hAnsi="Calibri" w:cs="Calibri"/>
          <w:sz w:val="24"/>
          <w:szCs w:val="24"/>
          <w:lang w:val="pl-PL"/>
        </w:rPr>
        <w:t>medyczny</w:t>
      </w:r>
      <w:r w:rsidR="00DF51E6" w:rsidRPr="007771AB">
        <w:rPr>
          <w:rFonts w:ascii="Calibri" w:hAnsi="Calibri" w:cs="Calibri"/>
          <w:sz w:val="24"/>
          <w:szCs w:val="24"/>
          <w:lang w:val="pl-PL"/>
        </w:rPr>
        <w:t xml:space="preserve">m, musi więc </w:t>
      </w:r>
      <w:r w:rsidR="005C1E69" w:rsidRPr="007771AB">
        <w:rPr>
          <w:rFonts w:ascii="Calibri" w:hAnsi="Calibri" w:cs="Calibri"/>
          <w:sz w:val="24"/>
          <w:szCs w:val="24"/>
          <w:lang w:val="pl-PL"/>
        </w:rPr>
        <w:t>spełniać wymagania określone w:</w:t>
      </w:r>
    </w:p>
    <w:p w:rsidR="00DF51E6" w:rsidRPr="007771AB" w:rsidRDefault="00DF51E6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>-</w:t>
      </w:r>
      <w:r w:rsidR="00E21E84" w:rsidRPr="007771AB">
        <w:rPr>
          <w:rFonts w:ascii="Calibri" w:hAnsi="Calibri" w:cs="Calibri"/>
          <w:sz w:val="24"/>
          <w:szCs w:val="24"/>
          <w:lang w:val="pl-PL"/>
        </w:rPr>
        <w:t xml:space="preserve"> u</w:t>
      </w:r>
      <w:r w:rsidR="005C1E69" w:rsidRPr="007771AB">
        <w:rPr>
          <w:rFonts w:ascii="Calibri" w:hAnsi="Calibri" w:cs="Calibri"/>
          <w:sz w:val="24"/>
          <w:szCs w:val="24"/>
          <w:lang w:val="pl-PL"/>
        </w:rPr>
        <w:t>stawie z dnia 7 kwietnia 2022 r. o wyrobach medycznych,</w:t>
      </w:r>
      <w:r w:rsidR="00E21E84" w:rsidRPr="007771AB">
        <w:rPr>
          <w:rFonts w:ascii="Calibri" w:hAnsi="Calibri" w:cs="Calibri"/>
          <w:sz w:val="24"/>
          <w:szCs w:val="24"/>
          <w:lang w:val="pl-PL"/>
        </w:rPr>
        <w:t xml:space="preserve"> </w:t>
      </w:r>
    </w:p>
    <w:p w:rsidR="00DF51E6" w:rsidRPr="007771AB" w:rsidRDefault="00DF51E6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 xml:space="preserve">- </w:t>
      </w:r>
      <w:r w:rsidR="00E21E84" w:rsidRPr="007771AB">
        <w:rPr>
          <w:rFonts w:ascii="Calibri" w:hAnsi="Calibri" w:cs="Calibri"/>
          <w:sz w:val="24"/>
          <w:szCs w:val="24"/>
          <w:lang w:val="pl-PL"/>
        </w:rPr>
        <w:t xml:space="preserve">rozporządzeniu Parlamentu Europejskiego i Rady (UE) 2017/745 z dnia 5 kwietnia 2017 r. w sprawie wyrobów medycznych, </w:t>
      </w:r>
    </w:p>
    <w:p w:rsidR="00DF51E6" w:rsidRPr="007771AB" w:rsidRDefault="00E21E84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>oraz musi posiadać</w:t>
      </w:r>
      <w:r w:rsidR="00DF51E6" w:rsidRPr="007771AB">
        <w:rPr>
          <w:rFonts w:ascii="Calibri" w:hAnsi="Calibri" w:cs="Calibri"/>
          <w:sz w:val="24"/>
          <w:szCs w:val="24"/>
          <w:lang w:val="pl-PL"/>
        </w:rPr>
        <w:t>:</w:t>
      </w:r>
    </w:p>
    <w:p w:rsidR="00DF51E6" w:rsidRPr="007771AB" w:rsidRDefault="00DF51E6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>-</w:t>
      </w:r>
      <w:r w:rsidR="00E21E84" w:rsidRPr="007771AB">
        <w:rPr>
          <w:rFonts w:ascii="Calibri" w:hAnsi="Calibri" w:cs="Calibri"/>
          <w:sz w:val="24"/>
          <w:szCs w:val="24"/>
          <w:lang w:val="pl-PL"/>
        </w:rPr>
        <w:t xml:space="preserve"> oznakowanie CE </w:t>
      </w:r>
      <w:r w:rsidRPr="007771AB">
        <w:rPr>
          <w:rFonts w:ascii="Calibri" w:hAnsi="Calibri" w:cs="Calibri"/>
          <w:sz w:val="24"/>
          <w:szCs w:val="24"/>
          <w:lang w:val="pl-PL"/>
        </w:rPr>
        <w:t xml:space="preserve">- </w:t>
      </w:r>
      <w:r w:rsidR="00E21E84" w:rsidRPr="007771AB">
        <w:rPr>
          <w:rFonts w:ascii="Calibri" w:hAnsi="Calibri" w:cs="Calibri"/>
          <w:sz w:val="24"/>
          <w:szCs w:val="24"/>
          <w:lang w:val="pl-PL"/>
        </w:rPr>
        <w:t>Deklarację Zgodności wystawioną przez producenta, iż wyrób jest zgodny z normami</w:t>
      </w:r>
      <w:r w:rsidRPr="007771AB">
        <w:rPr>
          <w:rFonts w:ascii="Calibri" w:hAnsi="Calibri" w:cs="Calibri"/>
          <w:sz w:val="24"/>
          <w:szCs w:val="24"/>
          <w:lang w:val="pl-PL"/>
        </w:rPr>
        <w:t>,</w:t>
      </w:r>
    </w:p>
    <w:p w:rsidR="00DF51E6" w:rsidRPr="007771AB" w:rsidRDefault="00DF51E6" w:rsidP="00DF51E6">
      <w:pPr>
        <w:pStyle w:val="Bezodstpw"/>
        <w:spacing w:after="120"/>
        <w:rPr>
          <w:rFonts w:ascii="Calibri" w:hAnsi="Calibri" w:cs="Calibri"/>
          <w:sz w:val="24"/>
          <w:szCs w:val="24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>- wpis lub zgłoszenie do Rejestru Wyrobów Medycznych</w:t>
      </w:r>
      <w:r w:rsidR="00E21E84" w:rsidRPr="007771AB">
        <w:rPr>
          <w:rFonts w:ascii="Calibri" w:hAnsi="Calibri" w:cs="Calibri"/>
          <w:sz w:val="24"/>
          <w:szCs w:val="24"/>
          <w:lang w:val="pl-PL"/>
        </w:rPr>
        <w:t>.</w:t>
      </w:r>
      <w:r w:rsidRPr="007771AB">
        <w:rPr>
          <w:rFonts w:ascii="Calibri" w:hAnsi="Calibri" w:cs="Calibri"/>
          <w:sz w:val="24"/>
          <w:szCs w:val="24"/>
        </w:rPr>
        <w:t xml:space="preserve"> </w:t>
      </w:r>
    </w:p>
    <w:p w:rsidR="00DF51E6" w:rsidRPr="007771AB" w:rsidRDefault="00DF51E6" w:rsidP="00DF51E6">
      <w:pPr>
        <w:pStyle w:val="Bezodstpw"/>
        <w:spacing w:after="120"/>
        <w:rPr>
          <w:rFonts w:ascii="Calibri" w:hAnsi="Calibri" w:cs="Calibri"/>
          <w:sz w:val="24"/>
          <w:szCs w:val="24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 xml:space="preserve">Zamawiający wymaga, by Wykonawca w ofercie na Formularzu Cenowym złożył oświadczenie o zgodności zaproponowanego łóżka </w:t>
      </w:r>
      <w:r w:rsidR="003963BC" w:rsidRPr="007771AB">
        <w:rPr>
          <w:rFonts w:ascii="Calibri" w:hAnsi="Calibri" w:cs="Calibri"/>
          <w:sz w:val="24"/>
          <w:szCs w:val="24"/>
          <w:lang w:val="pl-PL"/>
        </w:rPr>
        <w:t xml:space="preserve">szpitalnego </w:t>
      </w:r>
      <w:r w:rsidRPr="007771AB">
        <w:rPr>
          <w:rFonts w:ascii="Calibri" w:hAnsi="Calibri" w:cs="Calibri"/>
          <w:sz w:val="24"/>
          <w:szCs w:val="24"/>
          <w:lang w:val="pl-PL"/>
        </w:rPr>
        <w:t xml:space="preserve">z powyższymi wymaganiami Zamawiającego. </w:t>
      </w:r>
    </w:p>
    <w:p w:rsidR="008167A3" w:rsidRPr="00DF51E6" w:rsidRDefault="008167A3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 xml:space="preserve">Możliwość wyboru płyty kolorystycznej z minimum 10 kolorów, w tym z minimum 3 </w:t>
      </w:r>
      <w:r w:rsidRPr="00DF51E6">
        <w:rPr>
          <w:rFonts w:ascii="Calibri" w:hAnsi="Calibri" w:cs="Calibri"/>
          <w:sz w:val="24"/>
          <w:szCs w:val="24"/>
          <w:lang w:val="pl-PL"/>
        </w:rPr>
        <w:t>drewnopodobnych.</w:t>
      </w:r>
    </w:p>
    <w:p w:rsidR="002102E2" w:rsidRPr="00DF51E6" w:rsidRDefault="002102E2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</w:p>
    <w:p w:rsidR="007C4700" w:rsidRPr="00DF51E6" w:rsidRDefault="00C95B20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DF51E6">
        <w:rPr>
          <w:rFonts w:ascii="Calibri" w:hAnsi="Calibri" w:cs="Calibri"/>
          <w:noProof/>
          <w:sz w:val="24"/>
          <w:szCs w:val="24"/>
          <w:lang w:val="pl-PL" w:eastAsia="pl-PL"/>
        </w:rPr>
        <w:drawing>
          <wp:inline distT="0" distB="0" distL="0" distR="0" wp14:anchorId="1F16948F" wp14:editId="404E02F2">
            <wp:extent cx="1797087" cy="971207"/>
            <wp:effectExtent l="0" t="0" r="0" b="635"/>
            <wp:docPr id="3501545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5451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984" cy="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51E6">
        <w:rPr>
          <w:rFonts w:ascii="Calibri" w:hAnsi="Calibri" w:cs="Calibri"/>
          <w:sz w:val="24"/>
          <w:szCs w:val="24"/>
          <w:lang w:val="pl-PL"/>
        </w:rPr>
        <w:tab/>
      </w:r>
      <w:r w:rsidRPr="00DF51E6">
        <w:rPr>
          <w:rFonts w:ascii="Calibri" w:hAnsi="Calibri" w:cs="Calibri"/>
          <w:sz w:val="24"/>
          <w:szCs w:val="24"/>
          <w:lang w:val="pl-PL"/>
        </w:rPr>
        <w:tab/>
      </w:r>
      <w:r w:rsidRPr="00DF51E6">
        <w:rPr>
          <w:rFonts w:ascii="Calibri" w:hAnsi="Calibri" w:cs="Calibri"/>
          <w:noProof/>
          <w:sz w:val="24"/>
          <w:szCs w:val="24"/>
          <w:lang w:val="pl-PL" w:eastAsia="pl-PL"/>
        </w:rPr>
        <w:drawing>
          <wp:inline distT="0" distB="0" distL="0" distR="0" wp14:anchorId="3994D083" wp14:editId="1D0FF4E1">
            <wp:extent cx="1797087" cy="1157029"/>
            <wp:effectExtent l="0" t="0" r="0" b="5080"/>
            <wp:docPr id="10001697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976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99" cy="116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51E6">
        <w:rPr>
          <w:rFonts w:ascii="Calibri" w:hAnsi="Calibri" w:cs="Calibri"/>
          <w:sz w:val="24"/>
          <w:szCs w:val="24"/>
          <w:lang w:val="pl-PL"/>
        </w:rPr>
        <w:tab/>
      </w:r>
      <w:r w:rsidRPr="00DF51E6">
        <w:rPr>
          <w:rFonts w:ascii="Calibri" w:hAnsi="Calibri" w:cs="Calibri"/>
          <w:sz w:val="24"/>
          <w:szCs w:val="24"/>
          <w:lang w:val="pl-PL"/>
        </w:rPr>
        <w:tab/>
        <w:t>Zdjęcia poglądowe</w:t>
      </w:r>
    </w:p>
    <w:p w:rsidR="00FE014D" w:rsidRPr="00DF51E6" w:rsidRDefault="00FE014D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7"/>
      </w:tblGrid>
      <w:tr w:rsidR="00FE014D" w:rsidRPr="00DF51E6" w:rsidTr="00674132">
        <w:tc>
          <w:tcPr>
            <w:tcW w:w="1129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FE014D" w:rsidRPr="00DF51E6" w:rsidTr="00674132">
        <w:tc>
          <w:tcPr>
            <w:tcW w:w="1129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47.</w:t>
            </w:r>
          </w:p>
        </w:tc>
        <w:tc>
          <w:tcPr>
            <w:tcW w:w="1134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SZP</w:t>
            </w:r>
          </w:p>
        </w:tc>
        <w:tc>
          <w:tcPr>
            <w:tcW w:w="6799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Szafka </w:t>
            </w:r>
            <w:r w:rsidR="00993925" w:rsidRPr="00DF51E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szpitalna </w:t>
            </w:r>
            <w:r w:rsidRPr="00DF51E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przyłóżkowa </w:t>
            </w:r>
          </w:p>
        </w:tc>
      </w:tr>
    </w:tbl>
    <w:p w:rsidR="007C4700" w:rsidRPr="00DF51E6" w:rsidRDefault="007C4700" w:rsidP="00DF51E6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5B7B0C" w:rsidRPr="00DF51E6" w:rsidRDefault="005B7B0C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Korpus szafki </w:t>
      </w:r>
      <w:r w:rsidR="00993925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szpitalnej 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przyłóżkowej wykonany z profili aluminiowych. Ramki szuflad oraz boki korpusu wykonane z ocynkowanej stali pokrytej lakierem poliestrowo-epoksydowym. Blat szafki oraz czoła szuflad wykonane z wytrzymałego i wodoodpornego tworzywa HPL (o grubości minimum 6 mm). </w:t>
      </w:r>
    </w:p>
    <w:p w:rsidR="005B7B0C" w:rsidRPr="00DF51E6" w:rsidRDefault="005B7B0C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Tylna część blatu szafki wyposażona w aluminiowy reling posiadający tworzywowy haczyk na ręcznik oraz tworzywowy uchwyt na szklankę z możliwością demontażu oraz przesuwania na całej jego długości. Boczne krawędzie blatu szafki zabezpieczone aluminiowymi listwami w kształcie litery „C”.</w:t>
      </w:r>
    </w:p>
    <w:p w:rsidR="005B7B0C" w:rsidRPr="00DF51E6" w:rsidRDefault="005B7B0C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Szafka składa się z dwóch szuflad; pomiędzy szufladami półka o wysokości minimum 160 mm – dostęp do półki od frontu szafki. Szuflada górna wyposażona w odejmowany tworzywowy (ABS) wkład ułatwiający mycie i dezynfekcję z podziałem na 3 części. Wysokość szuflady 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lastRenderedPageBreak/>
        <w:t xml:space="preserve">minimum 110 mm. Szuflada wysuwana spod górnego blatu szafki na prowadnicach rolkowych umożliwiające ciche i łatwe wysuwanie i domykanie. Szuflada dolna wyposażona w odejmowany tworzywowy (ABS) wkład łatwy do mycia i dezynfekcji dzielący wnętrze szuflady na 2 części. Wysokość szuflady minimum 350 mm. Szuflada wyposażona w prowadnice rolkowe umożliwiające ciche i łatwe wysuwanie i domykanie. </w:t>
      </w:r>
    </w:p>
    <w:p w:rsidR="005B7B0C" w:rsidRPr="00DF51E6" w:rsidRDefault="005B7B0C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Wymiary zewnętrzne: - wysokość – 90 cm (+/- 3 cm)</w:t>
      </w:r>
      <w:r w:rsidR="00BA65B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; 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- szerokość szafki </w:t>
      </w:r>
      <w:r w:rsidR="00BA65B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–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46</w:t>
      </w:r>
      <w:r w:rsidR="00BA65B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 (</w:t>
      </w:r>
      <w:r w:rsidR="00BA65B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+/-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3</w:t>
      </w:r>
      <w:r w:rsidR="00BA65B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m)</w:t>
      </w:r>
      <w:r w:rsidR="00BA65B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; 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- głębokość  - 47</w:t>
      </w:r>
      <w:r w:rsidR="00BA65B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 (</w:t>
      </w:r>
      <w:r w:rsidR="00BA65B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+/- 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3</w:t>
      </w:r>
      <w:r w:rsidR="00BA65B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m) </w:t>
      </w:r>
    </w:p>
    <w:p w:rsidR="005B7B0C" w:rsidRPr="00DF51E6" w:rsidRDefault="005B7B0C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Czoła szuflad zaopatrzone w uchwyty w kolorze stalowym.</w:t>
      </w:r>
    </w:p>
    <w:p w:rsidR="005B7B0C" w:rsidRPr="00DF51E6" w:rsidRDefault="005B7B0C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Szafka wyposażona w tworzywową kieszeń do odkładania obuwia, umieszczoną z lewej lub prawej strony szafki. Możliwość przekładania półki bez użycia narzędzi.</w:t>
      </w:r>
    </w:p>
    <w:p w:rsidR="005B7B0C" w:rsidRPr="00DF51E6" w:rsidRDefault="005B7B0C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Szafka wyposażona w 4 podwójne koła jezdne w tym min</w:t>
      </w:r>
      <w:r w:rsidR="00BA65B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imum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2 z blokadą, o śr</w:t>
      </w:r>
      <w:r w:rsidR="00BA65B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ednicy minimum 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50 mm z elastycznym, niebrudzącym podłóg bieżnikiem. </w:t>
      </w:r>
    </w:p>
    <w:p w:rsidR="005B7B0C" w:rsidRPr="007771AB" w:rsidRDefault="005B7B0C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Konstrukcja szafki przystosowana do dezynfekcji środkami dopuszczonymi do użycia w </w:t>
      </w:r>
      <w:r w:rsidRPr="007771AB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szpitalach</w:t>
      </w:r>
    </w:p>
    <w:p w:rsidR="00DF51E6" w:rsidRPr="007771AB" w:rsidRDefault="00B74EE9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bookmarkStart w:id="0" w:name="_Hlk173749437"/>
      <w:bookmarkStart w:id="1" w:name="_Hlk173824992"/>
      <w:r w:rsidRPr="007771AB">
        <w:rPr>
          <w:rFonts w:ascii="Calibri" w:hAnsi="Calibri" w:cs="Calibri"/>
          <w:sz w:val="24"/>
          <w:szCs w:val="24"/>
          <w:lang w:val="pl-PL"/>
        </w:rPr>
        <w:t xml:space="preserve">Szafka szpitalna przyłóżkowa </w:t>
      </w:r>
      <w:bookmarkEnd w:id="0"/>
      <w:r w:rsidR="00DF51E6" w:rsidRPr="007771AB">
        <w:rPr>
          <w:rFonts w:ascii="Calibri" w:hAnsi="Calibri" w:cs="Calibri"/>
          <w:sz w:val="24"/>
          <w:szCs w:val="24"/>
          <w:lang w:val="pl-PL"/>
        </w:rPr>
        <w:t>jest wyrobem medycznym, musi więc spełniać wymagania określone w:</w:t>
      </w:r>
    </w:p>
    <w:p w:rsidR="00DF51E6" w:rsidRPr="007771AB" w:rsidRDefault="00DF51E6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 xml:space="preserve">- ustawie z dnia 7 kwietnia 2022 r. o wyrobach medycznych, </w:t>
      </w:r>
    </w:p>
    <w:p w:rsidR="00DF51E6" w:rsidRPr="007771AB" w:rsidRDefault="00DF51E6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 xml:space="preserve">- rozporządzeniu Parlamentu Europejskiego i Rady (UE) 2017/745 z dnia 5 kwietnia 2017 r. w sprawie wyrobów medycznych, </w:t>
      </w:r>
    </w:p>
    <w:p w:rsidR="00DF51E6" w:rsidRPr="007771AB" w:rsidRDefault="00DF51E6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>oraz musi posiadać:</w:t>
      </w:r>
    </w:p>
    <w:p w:rsidR="00DF51E6" w:rsidRPr="007771AB" w:rsidRDefault="00DF51E6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>- oznakowanie CE - Deklarację Zgodności wystawioną przez producenta, iż wyrób jest zgodny z normami,</w:t>
      </w:r>
    </w:p>
    <w:p w:rsidR="00DF51E6" w:rsidRPr="007771AB" w:rsidRDefault="00DF51E6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 xml:space="preserve">- wpis lub zgłoszenie do Rejestru Wyrobów Medycznych. </w:t>
      </w:r>
    </w:p>
    <w:p w:rsidR="00DF51E6" w:rsidRPr="007771AB" w:rsidRDefault="00DF51E6" w:rsidP="00DF51E6">
      <w:pPr>
        <w:pStyle w:val="Bezodstpw"/>
        <w:spacing w:after="120"/>
        <w:rPr>
          <w:rFonts w:ascii="Calibri" w:hAnsi="Calibri" w:cs="Calibri"/>
          <w:sz w:val="24"/>
          <w:szCs w:val="24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 xml:space="preserve">Zamawiający wymaga, by Wykonawca w ofercie na Formularzu Cenowym złożył oświadczenie o zgodności zaproponowanej szafki szpitalnej przyłóżkowej z powyższymi wymaganiami Zamawiającego. </w:t>
      </w:r>
    </w:p>
    <w:bookmarkEnd w:id="1"/>
    <w:p w:rsidR="005B7B0C" w:rsidRPr="00DF51E6" w:rsidRDefault="005B7B0C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Możliwość wyboru kolorów frontów szuflad oraz blatów z min</w:t>
      </w:r>
      <w:r w:rsidR="00BA65B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imum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10 kolorów oraz możliwość wyboru koloru ramy szafki.</w:t>
      </w:r>
    </w:p>
    <w:p w:rsidR="007C4700" w:rsidRPr="00DF51E6" w:rsidRDefault="007C4700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</w:p>
    <w:p w:rsidR="00CF6DFB" w:rsidRPr="00DF51E6" w:rsidRDefault="00BA65B9" w:rsidP="00DF51E6">
      <w:pPr>
        <w:pStyle w:val="Bezodstpw"/>
        <w:spacing w:after="120"/>
        <w:rPr>
          <w:rFonts w:ascii="Calibri" w:hAnsi="Calibri" w:cs="Calibri"/>
          <w:sz w:val="24"/>
          <w:szCs w:val="24"/>
        </w:rPr>
      </w:pPr>
      <w:r w:rsidRPr="00DF51E6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226681F7" wp14:editId="0C10EE3E">
            <wp:extent cx="1406934" cy="2108200"/>
            <wp:effectExtent l="0" t="0" r="3175" b="6350"/>
            <wp:docPr id="387747370" name="Obraz 387747370" descr="Praktyczna szafka przyłóżkowa Soreno 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ktyczna szafka przyłóżkowa Soreno e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28" cy="211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1E6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DF51E6">
        <w:rPr>
          <w:rFonts w:ascii="Calibri" w:hAnsi="Calibri" w:cs="Calibri"/>
          <w:sz w:val="24"/>
          <w:szCs w:val="24"/>
          <w:lang w:val="pl-PL"/>
        </w:rPr>
        <w:tab/>
      </w:r>
      <w:r w:rsidR="00C95B20" w:rsidRPr="00DF51E6">
        <w:rPr>
          <w:rFonts w:ascii="Calibri" w:hAnsi="Calibri" w:cs="Calibri"/>
          <w:sz w:val="24"/>
          <w:szCs w:val="24"/>
          <w:lang w:val="pl-PL"/>
        </w:rPr>
        <w:t>Zdjęcie poglądowe</w:t>
      </w:r>
    </w:p>
    <w:p w:rsidR="00FE014D" w:rsidRPr="00DF51E6" w:rsidRDefault="00FE014D" w:rsidP="00DF51E6">
      <w:pPr>
        <w:suppressAutoHyphens/>
        <w:spacing w:after="120" w:line="240" w:lineRule="auto"/>
        <w:rPr>
          <w:rFonts w:ascii="Calibri" w:eastAsia="Times New Roman" w:hAnsi="Calibri" w:cs="Calibri"/>
          <w:bCs/>
          <w:kern w:val="2"/>
          <w:sz w:val="24"/>
          <w:szCs w:val="24"/>
          <w:lang w:eastAsia="ar-SA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7"/>
      </w:tblGrid>
      <w:tr w:rsidR="00FE014D" w:rsidRPr="00DF51E6" w:rsidTr="00674132">
        <w:tc>
          <w:tcPr>
            <w:tcW w:w="1129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FE014D" w:rsidRPr="00DF51E6" w:rsidTr="00674132">
        <w:tc>
          <w:tcPr>
            <w:tcW w:w="1129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48.</w:t>
            </w:r>
          </w:p>
        </w:tc>
        <w:tc>
          <w:tcPr>
            <w:tcW w:w="1134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MA</w:t>
            </w:r>
          </w:p>
        </w:tc>
        <w:tc>
          <w:tcPr>
            <w:tcW w:w="6799" w:type="dxa"/>
          </w:tcPr>
          <w:p w:rsidR="00FE014D" w:rsidRPr="00DF51E6" w:rsidRDefault="00FE014D" w:rsidP="00DF51E6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DF51E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Materac</w:t>
            </w:r>
          </w:p>
        </w:tc>
      </w:tr>
    </w:tbl>
    <w:p w:rsidR="00FE014D" w:rsidRPr="00DF51E6" w:rsidRDefault="00FE014D" w:rsidP="00DF51E6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FA60E3" w:rsidRPr="00DF51E6" w:rsidRDefault="00FA60E3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Materac profilaktyczny przeciwodleżynowy składający się z warstwy podstawowej wykonanej z pianki zimnej PUR oraz warstwy górnej wykonanej z pianki </w:t>
      </w:r>
      <w:proofErr w:type="spellStart"/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wiskoelastycznej</w:t>
      </w:r>
      <w:proofErr w:type="spellEnd"/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, dopasowującej się do kształtu ciała i zapewniającej rozprowadzenie nacisku i prawidłową wentylację.</w:t>
      </w:r>
    </w:p>
    <w:p w:rsidR="00FA60E3" w:rsidRPr="00DF51E6" w:rsidRDefault="00FA60E3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Materac </w:t>
      </w:r>
      <w:r w:rsidR="00F84DC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zbudowany z: minimum 5 cm pianki </w:t>
      </w:r>
      <w:proofErr w:type="spellStart"/>
      <w:r w:rsidR="00F84DC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wiskoelastycznej</w:t>
      </w:r>
      <w:proofErr w:type="spellEnd"/>
      <w:r w:rsidR="00F84DC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i minimum 9 cm warstwy spodniej z zimnej piany PUR. Krawędzie materace wzmocnione zimną pianą PUR o gęstości nie mniejszej niż  40 kg/m3.</w:t>
      </w:r>
    </w:p>
    <w:p w:rsidR="00FA60E3" w:rsidRPr="00DF51E6" w:rsidRDefault="00FA60E3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Wymiary</w:t>
      </w:r>
      <w:r w:rsidR="00F84DC9" w:rsidRPr="00DF51E6">
        <w:rPr>
          <w:rFonts w:ascii="Calibri" w:hAnsi="Calibri" w:cs="Calibri"/>
          <w:sz w:val="24"/>
          <w:szCs w:val="24"/>
        </w:rPr>
        <w:t xml:space="preserve"> </w:t>
      </w:r>
      <w:r w:rsidR="00F84DC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materaca dopasowane do rozmiaru leża łózka z poz. 46 niniejszej Specyfikacji, jednak nie mniejszy niż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(szer. × dł. × wys.): 87</w:t>
      </w:r>
      <w:r w:rsidR="00F84DC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cm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× 200</w:t>
      </w:r>
      <w:r w:rsidR="00F84DC9"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cm</w:t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× 14 cm.</w:t>
      </w:r>
    </w:p>
    <w:p w:rsidR="00FA60E3" w:rsidRPr="00DF51E6" w:rsidRDefault="00FA60E3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Gęstość objętościowa: 50/40 kg/m³. Wytrzymałość na ściskanie: 5,0 </w:t>
      </w:r>
      <w:proofErr w:type="spellStart"/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kPa</w:t>
      </w:r>
      <w:proofErr w:type="spellEnd"/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– krawędzie /podstawa 4,0 </w:t>
      </w:r>
      <w:proofErr w:type="spellStart"/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kPa</w:t>
      </w:r>
      <w:proofErr w:type="spellEnd"/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, warstwa górna </w:t>
      </w:r>
      <w:proofErr w:type="spellStart"/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wiskoelastyczna</w:t>
      </w:r>
      <w:proofErr w:type="spellEnd"/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- 40N. </w:t>
      </w:r>
    </w:p>
    <w:p w:rsidR="00FA60E3" w:rsidRPr="00DF51E6" w:rsidRDefault="00FA60E3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Możliwość okazjonalnego prania całego materaca w automatycznych stacjach myjących w temperaturze do 75 stopni C. </w:t>
      </w:r>
    </w:p>
    <w:p w:rsidR="00F84DC9" w:rsidRPr="00DF51E6" w:rsidRDefault="00FA60E3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Pokrowiec odporny na działanie bakterii i pleśnie. Pokrowiec z możliwością prania do 95 stopni C oraz suszenia w temperaturze 100 stopni C. Odporny na działanie środków dezynfekcyjnych powszechnie stosowanych w służbie zdrowia.</w:t>
      </w:r>
    </w:p>
    <w:p w:rsidR="008A6FD0" w:rsidRPr="00DF51E6" w:rsidRDefault="008A6FD0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p w:rsidR="008A6FD0" w:rsidRPr="00DF51E6" w:rsidRDefault="008A6FD0" w:rsidP="00DF51E6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DF51E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E7C6AFA" wp14:editId="6620D940">
            <wp:extent cx="1752600" cy="751114"/>
            <wp:effectExtent l="0" t="0" r="0" b="0"/>
            <wp:docPr id="1375344576" name="Obraz 1375344576" descr="P1 - Prophylaxe-Matratze aus Viscosch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 - Prophylaxe-Matratze aus Viscoscha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50" cy="75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ab/>
      </w:r>
      <w:r w:rsidRPr="00DF51E6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ab/>
      </w:r>
      <w:r w:rsidRPr="00DF51E6">
        <w:rPr>
          <w:rFonts w:ascii="Calibri" w:hAnsi="Calibri" w:cs="Calibri"/>
          <w:sz w:val="24"/>
          <w:szCs w:val="24"/>
        </w:rPr>
        <w:t>Zdjęcie poglądowe</w:t>
      </w:r>
    </w:p>
    <w:p w:rsidR="008A6FD0" w:rsidRPr="00DF51E6" w:rsidRDefault="008A6FD0" w:rsidP="00DF51E6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p w:rsidR="00EE3CED" w:rsidRPr="00DF51E6" w:rsidRDefault="008C57D4" w:rsidP="00DF51E6">
      <w:pPr>
        <w:spacing w:after="12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F51E6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Uwaga!</w:t>
      </w:r>
    </w:p>
    <w:p w:rsidR="001D5569" w:rsidRPr="007771AB" w:rsidRDefault="008A6FD0" w:rsidP="00DF51E6">
      <w:pPr>
        <w:spacing w:after="120" w:line="240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DF51E6">
        <w:rPr>
          <w:rFonts w:ascii="Calibri" w:hAnsi="Calibri" w:cs="Calibri"/>
          <w:color w:val="000000"/>
          <w:sz w:val="24"/>
          <w:szCs w:val="24"/>
        </w:rPr>
        <w:t>R</w:t>
      </w:r>
      <w:r w:rsidR="009D2347" w:rsidRPr="00DF51E6">
        <w:rPr>
          <w:rFonts w:ascii="Calibri" w:hAnsi="Calibri" w:cs="Calibri"/>
          <w:color w:val="000000"/>
          <w:sz w:val="24"/>
          <w:szCs w:val="24"/>
        </w:rPr>
        <w:t xml:space="preserve">azem z materacem należy dostarczyć </w:t>
      </w:r>
      <w:r w:rsidRPr="00DF51E6">
        <w:rPr>
          <w:rFonts w:ascii="Calibri" w:hAnsi="Calibri" w:cs="Calibri"/>
          <w:color w:val="000000"/>
          <w:sz w:val="24"/>
          <w:szCs w:val="24"/>
        </w:rPr>
        <w:t xml:space="preserve">dodatkowy </w:t>
      </w:r>
      <w:r w:rsidR="009D2347" w:rsidRPr="00DF51E6">
        <w:rPr>
          <w:rFonts w:ascii="Calibri" w:hAnsi="Calibri" w:cs="Calibri"/>
          <w:color w:val="000000"/>
          <w:sz w:val="24"/>
          <w:szCs w:val="24"/>
        </w:rPr>
        <w:t xml:space="preserve">pokrowiec </w:t>
      </w:r>
      <w:r w:rsidR="001D5569" w:rsidRPr="00DF51E6">
        <w:rPr>
          <w:rFonts w:ascii="Calibri" w:hAnsi="Calibri" w:cs="Calibri"/>
          <w:color w:val="000000"/>
          <w:sz w:val="24"/>
          <w:szCs w:val="24"/>
        </w:rPr>
        <w:t>bawełniano-poliestrowy na materac, przeznaczony do zabezpieczenia powierzchni przed zabrudzeni</w:t>
      </w:r>
      <w:r w:rsidR="009D2347" w:rsidRPr="00DF51E6">
        <w:rPr>
          <w:rFonts w:ascii="Calibri" w:hAnsi="Calibri" w:cs="Calibri"/>
          <w:color w:val="000000"/>
          <w:sz w:val="24"/>
          <w:szCs w:val="24"/>
        </w:rPr>
        <w:t>em wydzielinami fizjologicznymi</w:t>
      </w:r>
      <w:r w:rsidR="008C57D4" w:rsidRPr="00DF51E6">
        <w:rPr>
          <w:rFonts w:ascii="Calibri" w:hAnsi="Calibri" w:cs="Calibri"/>
          <w:color w:val="000000"/>
          <w:sz w:val="24"/>
          <w:szCs w:val="24"/>
        </w:rPr>
        <w:t xml:space="preserve">; </w:t>
      </w:r>
      <w:r w:rsidR="005A26AF" w:rsidRPr="00DF51E6">
        <w:rPr>
          <w:rFonts w:ascii="Calibri" w:eastAsia="Times New Roman" w:hAnsi="Calibri" w:cs="Calibri"/>
          <w:bCs/>
          <w:sz w:val="24"/>
          <w:szCs w:val="24"/>
          <w:lang w:eastAsia="pl-PL"/>
        </w:rPr>
        <w:t>p</w:t>
      </w:r>
      <w:r w:rsidR="001D5569" w:rsidRPr="00DF51E6">
        <w:rPr>
          <w:rFonts w:ascii="Calibri" w:eastAsia="Times New Roman" w:hAnsi="Calibri" w:cs="Calibri"/>
          <w:bCs/>
          <w:sz w:val="24"/>
          <w:szCs w:val="24"/>
          <w:lang w:eastAsia="pl-PL"/>
        </w:rPr>
        <w:t>aroprzepuszczalny</w:t>
      </w:r>
      <w:r w:rsidR="008C57D4" w:rsidRPr="00DF51E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</w:t>
      </w:r>
      <w:r w:rsidR="001D5569" w:rsidRPr="00DF51E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nie</w:t>
      </w:r>
      <w:r w:rsidR="005A26AF" w:rsidRPr="00DF51E6">
        <w:rPr>
          <w:rFonts w:ascii="Calibri" w:eastAsia="Times New Roman" w:hAnsi="Calibri" w:cs="Calibri"/>
          <w:bCs/>
          <w:sz w:val="24"/>
          <w:szCs w:val="24"/>
          <w:lang w:eastAsia="pl-PL"/>
        </w:rPr>
        <w:t>przemakalny</w:t>
      </w:r>
      <w:r w:rsidR="009D2347" w:rsidRPr="00DF51E6">
        <w:rPr>
          <w:rFonts w:ascii="Calibri" w:eastAsia="Times New Roman" w:hAnsi="Calibri" w:cs="Calibri"/>
          <w:bCs/>
          <w:sz w:val="24"/>
          <w:szCs w:val="24"/>
          <w:lang w:eastAsia="pl-PL"/>
        </w:rPr>
        <w:t>. P</w:t>
      </w:r>
      <w:r w:rsidR="009D2347" w:rsidRPr="00DF51E6">
        <w:rPr>
          <w:rFonts w:ascii="Calibri" w:eastAsia="Times New Roman" w:hAnsi="Calibri" w:cs="Calibri"/>
          <w:sz w:val="24"/>
          <w:szCs w:val="24"/>
          <w:lang w:eastAsia="pl-PL"/>
        </w:rPr>
        <w:t xml:space="preserve">okrowiec </w:t>
      </w:r>
      <w:r w:rsidR="001D5569" w:rsidRPr="00DF51E6">
        <w:rPr>
          <w:rFonts w:ascii="Calibri" w:eastAsia="Times New Roman" w:hAnsi="Calibri" w:cs="Calibri"/>
          <w:sz w:val="24"/>
          <w:szCs w:val="24"/>
          <w:lang w:eastAsia="pl-PL"/>
        </w:rPr>
        <w:t xml:space="preserve">wielokrotnego użytku, </w:t>
      </w:r>
      <w:r w:rsidR="001D5569" w:rsidRPr="007771AB">
        <w:rPr>
          <w:rFonts w:ascii="Calibri" w:eastAsia="Times New Roman" w:hAnsi="Calibri" w:cs="Calibri"/>
          <w:sz w:val="24"/>
          <w:szCs w:val="24"/>
          <w:lang w:eastAsia="pl-PL"/>
        </w:rPr>
        <w:t xml:space="preserve">łatwy w praniu. </w:t>
      </w:r>
    </w:p>
    <w:p w:rsidR="003963BC" w:rsidRPr="007771AB" w:rsidRDefault="00B74EE9" w:rsidP="003963BC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 xml:space="preserve">Materac </w:t>
      </w:r>
      <w:r w:rsidR="003963BC" w:rsidRPr="007771AB">
        <w:rPr>
          <w:rFonts w:ascii="Calibri" w:hAnsi="Calibri" w:cs="Calibri"/>
          <w:sz w:val="24"/>
          <w:szCs w:val="24"/>
          <w:lang w:val="pl-PL"/>
        </w:rPr>
        <w:t>jest wyrobem medycznym, musi więc spełniać wymagania określone w:</w:t>
      </w:r>
    </w:p>
    <w:p w:rsidR="003963BC" w:rsidRPr="007771AB" w:rsidRDefault="003963BC" w:rsidP="003963BC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 xml:space="preserve">- ustawie z dnia 7 kwietnia 2022 r. o wyrobach medycznych, </w:t>
      </w:r>
    </w:p>
    <w:p w:rsidR="003963BC" w:rsidRPr="007771AB" w:rsidRDefault="003963BC" w:rsidP="003963BC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 xml:space="preserve">- rozporządzeniu Parlamentu Europejskiego i Rady (UE) 2017/745 z dnia 5 kwietnia 2017 r. w sprawie wyrobów medycznych, </w:t>
      </w:r>
    </w:p>
    <w:p w:rsidR="003963BC" w:rsidRPr="007771AB" w:rsidRDefault="003963BC" w:rsidP="003963BC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>oraz musi posiadać:</w:t>
      </w:r>
    </w:p>
    <w:p w:rsidR="003963BC" w:rsidRPr="007771AB" w:rsidRDefault="003963BC" w:rsidP="003963BC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>- oznakowanie CE - Deklarację Zgodności wystawioną przez producenta, iż wyrób jest zgodny z normami,</w:t>
      </w:r>
    </w:p>
    <w:p w:rsidR="003963BC" w:rsidRPr="007771AB" w:rsidRDefault="003963BC" w:rsidP="003963BC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 xml:space="preserve">- wpis lub zgłoszenie do Rejestru Wyrobów Medycznych. </w:t>
      </w:r>
    </w:p>
    <w:p w:rsidR="00B74EE9" w:rsidRPr="007771AB" w:rsidRDefault="003963BC" w:rsidP="00DF51E6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7771AB">
        <w:rPr>
          <w:rFonts w:ascii="Calibri" w:hAnsi="Calibri" w:cs="Calibri"/>
          <w:sz w:val="24"/>
          <w:szCs w:val="24"/>
          <w:lang w:val="pl-PL"/>
        </w:rPr>
        <w:t xml:space="preserve">Zamawiający wymaga, by Wykonawca w ofercie na Formularzu Cenowym złożył oświadczenie o zgodności zaproponowanego materaca z powyższymi wymaganiami Zamawiającego. </w:t>
      </w:r>
    </w:p>
    <w:p w:rsidR="008C57D4" w:rsidRPr="00DF51E6" w:rsidRDefault="008C57D4" w:rsidP="00DF51E6">
      <w:pPr>
        <w:spacing w:after="120" w:line="240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D5569" w:rsidRPr="00DF51E6" w:rsidRDefault="008C57D4" w:rsidP="00DF51E6">
      <w:pPr>
        <w:spacing w:after="120" w:line="240" w:lineRule="auto"/>
        <w:outlineLvl w:val="1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F51E6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7CCB4714" wp14:editId="1D72BE42">
            <wp:extent cx="1765300" cy="1103313"/>
            <wp:effectExtent l="0" t="0" r="635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0321" cy="110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51E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F51E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5A26AF" w:rsidRPr="00DF51E6">
        <w:rPr>
          <w:rFonts w:ascii="Calibri" w:eastAsia="Times New Roman" w:hAnsi="Calibri" w:cs="Calibri"/>
          <w:bCs/>
          <w:sz w:val="24"/>
          <w:szCs w:val="24"/>
          <w:lang w:eastAsia="pl-PL"/>
        </w:rPr>
        <w:t>Zdjęcie poglądowe</w:t>
      </w:r>
    </w:p>
    <w:sectPr w:rsidR="001D5569" w:rsidRPr="00DF51E6" w:rsidSect="00DF51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363A" w:rsidRDefault="009D363A" w:rsidP="00CD2BB1">
      <w:pPr>
        <w:spacing w:after="0" w:line="240" w:lineRule="auto"/>
      </w:pPr>
      <w:r>
        <w:separator/>
      </w:r>
    </w:p>
  </w:endnote>
  <w:endnote w:type="continuationSeparator" w:id="0">
    <w:p w:rsidR="009D363A" w:rsidRDefault="009D363A" w:rsidP="00CD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264" w:rsidRDefault="001F72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0849819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:rsidR="008C57D4" w:rsidRPr="008C57D4" w:rsidRDefault="008C57D4">
            <w:pPr>
              <w:pStyle w:val="Stopka"/>
              <w:jc w:val="center"/>
              <w:rPr>
                <w:sz w:val="16"/>
                <w:szCs w:val="16"/>
              </w:rPr>
            </w:pPr>
            <w:r w:rsidRPr="008C57D4">
              <w:rPr>
                <w:sz w:val="16"/>
                <w:szCs w:val="16"/>
              </w:rPr>
              <w:t xml:space="preserve">Strona </w:t>
            </w:r>
            <w:r w:rsidRPr="008C57D4">
              <w:rPr>
                <w:b/>
                <w:bCs/>
                <w:sz w:val="16"/>
                <w:szCs w:val="16"/>
              </w:rPr>
              <w:fldChar w:fldCharType="begin"/>
            </w:r>
            <w:r w:rsidRPr="008C57D4">
              <w:rPr>
                <w:b/>
                <w:bCs/>
                <w:sz w:val="16"/>
                <w:szCs w:val="16"/>
              </w:rPr>
              <w:instrText>PAGE</w:instrText>
            </w:r>
            <w:r w:rsidRPr="008C57D4">
              <w:rPr>
                <w:b/>
                <w:bCs/>
                <w:sz w:val="16"/>
                <w:szCs w:val="16"/>
              </w:rPr>
              <w:fldChar w:fldCharType="separate"/>
            </w:r>
            <w:r w:rsidRPr="008C57D4">
              <w:rPr>
                <w:b/>
                <w:bCs/>
                <w:sz w:val="16"/>
                <w:szCs w:val="16"/>
              </w:rPr>
              <w:t>2</w:t>
            </w:r>
            <w:r w:rsidRPr="008C57D4">
              <w:rPr>
                <w:b/>
                <w:bCs/>
                <w:sz w:val="16"/>
                <w:szCs w:val="16"/>
              </w:rPr>
              <w:fldChar w:fldCharType="end"/>
            </w:r>
            <w:r w:rsidRPr="008C57D4">
              <w:rPr>
                <w:sz w:val="16"/>
                <w:szCs w:val="16"/>
              </w:rPr>
              <w:t xml:space="preserve"> z </w:t>
            </w:r>
            <w:r w:rsidRPr="008C57D4">
              <w:rPr>
                <w:b/>
                <w:bCs/>
                <w:sz w:val="16"/>
                <w:szCs w:val="16"/>
              </w:rPr>
              <w:fldChar w:fldCharType="begin"/>
            </w:r>
            <w:r w:rsidRPr="008C57D4">
              <w:rPr>
                <w:b/>
                <w:bCs/>
                <w:sz w:val="16"/>
                <w:szCs w:val="16"/>
              </w:rPr>
              <w:instrText>NUMPAGES</w:instrText>
            </w:r>
            <w:r w:rsidRPr="008C57D4">
              <w:rPr>
                <w:b/>
                <w:bCs/>
                <w:sz w:val="16"/>
                <w:szCs w:val="16"/>
              </w:rPr>
              <w:fldChar w:fldCharType="separate"/>
            </w:r>
            <w:r w:rsidRPr="008C57D4">
              <w:rPr>
                <w:b/>
                <w:bCs/>
                <w:sz w:val="16"/>
                <w:szCs w:val="16"/>
              </w:rPr>
              <w:t>2</w:t>
            </w:r>
            <w:r w:rsidRPr="008C57D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C57D4" w:rsidRDefault="008C57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264" w:rsidRDefault="001F7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363A" w:rsidRDefault="009D363A" w:rsidP="00CD2BB1">
      <w:pPr>
        <w:spacing w:after="0" w:line="240" w:lineRule="auto"/>
      </w:pPr>
      <w:r>
        <w:separator/>
      </w:r>
    </w:p>
  </w:footnote>
  <w:footnote w:type="continuationSeparator" w:id="0">
    <w:p w:rsidR="009D363A" w:rsidRDefault="009D363A" w:rsidP="00CD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264" w:rsidRDefault="001F72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2BB1" w:rsidRDefault="00CD2BB1" w:rsidP="00CD2BB1">
    <w:pPr>
      <w:pStyle w:val="Nagwek"/>
      <w:jc w:val="center"/>
      <w:rPr>
        <w:b/>
        <w:bCs/>
        <w:color w:val="002060"/>
        <w:sz w:val="28"/>
        <w:szCs w:val="28"/>
      </w:rPr>
    </w:pPr>
    <w:r>
      <w:rPr>
        <w:b/>
        <w:bCs/>
        <w:color w:val="002060"/>
        <w:sz w:val="28"/>
        <w:szCs w:val="28"/>
      </w:rPr>
      <w:t>DOKUMENTACJA PROJEKTOWA</w:t>
    </w:r>
  </w:p>
  <w:p w:rsidR="00CD2BB1" w:rsidRDefault="00CD2BB1" w:rsidP="00CD2BB1">
    <w:pPr>
      <w:pStyle w:val="Nagwek"/>
      <w:jc w:val="center"/>
      <w:rPr>
        <w:color w:val="002060"/>
        <w:sz w:val="24"/>
        <w:szCs w:val="24"/>
      </w:rPr>
    </w:pPr>
    <w:r w:rsidRPr="00B74F63">
      <w:rPr>
        <w:color w:val="002060"/>
        <w:sz w:val="24"/>
        <w:szCs w:val="24"/>
      </w:rPr>
      <w:t xml:space="preserve">- wyciąg z dokumentacji </w:t>
    </w:r>
    <w:r>
      <w:rPr>
        <w:color w:val="002060"/>
        <w:sz w:val="24"/>
        <w:szCs w:val="24"/>
      </w:rPr>
      <w:t>-</w:t>
    </w:r>
  </w:p>
  <w:p w:rsidR="00CD2BB1" w:rsidRDefault="00CD2BB1" w:rsidP="00CD2BB1">
    <w:pPr>
      <w:pStyle w:val="Nagwek"/>
      <w:jc w:val="center"/>
      <w:rPr>
        <w:b/>
        <w:bCs/>
        <w:color w:val="002060"/>
        <w:sz w:val="28"/>
        <w:szCs w:val="28"/>
      </w:rPr>
    </w:pPr>
  </w:p>
  <w:p w:rsidR="00CD2BB1" w:rsidRDefault="00CD2BB1" w:rsidP="00CD2BB1">
    <w:pPr>
      <w:pStyle w:val="Nagwek"/>
      <w:jc w:val="center"/>
      <w:rPr>
        <w:b/>
        <w:bCs/>
        <w:color w:val="002060"/>
        <w:sz w:val="28"/>
        <w:szCs w:val="28"/>
      </w:rPr>
    </w:pPr>
    <w:r w:rsidRPr="00465B7D">
      <w:rPr>
        <w:b/>
        <w:bCs/>
        <w:color w:val="002060"/>
        <w:sz w:val="28"/>
        <w:szCs w:val="28"/>
      </w:rPr>
      <w:t xml:space="preserve">SZCZEGÓŁOWA SPECYFIKACJA TECHNICZNA – </w:t>
    </w:r>
    <w:r w:rsidR="001F7264">
      <w:rPr>
        <w:b/>
        <w:bCs/>
        <w:color w:val="002060"/>
        <w:sz w:val="28"/>
        <w:szCs w:val="28"/>
      </w:rPr>
      <w:t xml:space="preserve">CZĘŚĆ III - </w:t>
    </w:r>
    <w:r w:rsidRPr="00465B7D">
      <w:rPr>
        <w:b/>
        <w:bCs/>
        <w:color w:val="002060"/>
        <w:sz w:val="28"/>
        <w:szCs w:val="28"/>
      </w:rPr>
      <w:t xml:space="preserve">MEBLE </w:t>
    </w:r>
    <w:r>
      <w:rPr>
        <w:b/>
        <w:bCs/>
        <w:color w:val="002060"/>
        <w:sz w:val="28"/>
        <w:szCs w:val="28"/>
      </w:rPr>
      <w:t>MEDYCZNE</w:t>
    </w:r>
  </w:p>
  <w:p w:rsidR="00CD2BB1" w:rsidRPr="00465B7D" w:rsidRDefault="00CD2BB1" w:rsidP="00CD2BB1">
    <w:pPr>
      <w:pStyle w:val="Nagwek"/>
      <w:jc w:val="center"/>
      <w:rPr>
        <w:b/>
        <w:bCs/>
        <w:color w:val="002060"/>
        <w:sz w:val="28"/>
        <w:szCs w:val="28"/>
      </w:rPr>
    </w:pPr>
    <w:r w:rsidRPr="00B74F63">
      <w:rPr>
        <w:b/>
        <w:bCs/>
        <w:color w:val="002060"/>
        <w:sz w:val="28"/>
        <w:szCs w:val="28"/>
      </w:rPr>
      <w:t>POMIESZCZE</w:t>
    </w:r>
    <w:r>
      <w:rPr>
        <w:b/>
        <w:bCs/>
        <w:color w:val="002060"/>
        <w:sz w:val="28"/>
        <w:szCs w:val="28"/>
      </w:rPr>
      <w:t>NIA</w:t>
    </w:r>
    <w:r w:rsidRPr="00B74F63">
      <w:rPr>
        <w:b/>
        <w:bCs/>
        <w:color w:val="002060"/>
        <w:sz w:val="28"/>
        <w:szCs w:val="28"/>
      </w:rPr>
      <w:t xml:space="preserve"> II PI</w:t>
    </w:r>
    <w:r>
      <w:rPr>
        <w:b/>
        <w:bCs/>
        <w:color w:val="002060"/>
        <w:sz w:val="28"/>
        <w:szCs w:val="28"/>
      </w:rPr>
      <w:t>Ę</w:t>
    </w:r>
    <w:r w:rsidRPr="00B74F63">
      <w:rPr>
        <w:b/>
        <w:bCs/>
        <w:color w:val="002060"/>
        <w:sz w:val="28"/>
        <w:szCs w:val="28"/>
      </w:rPr>
      <w:t>TRA</w:t>
    </w:r>
    <w:r>
      <w:rPr>
        <w:b/>
        <w:bCs/>
        <w:color w:val="002060"/>
        <w:sz w:val="28"/>
        <w:szCs w:val="28"/>
      </w:rPr>
      <w:t xml:space="preserve"> </w:t>
    </w:r>
    <w:r w:rsidRPr="00B74F63">
      <w:rPr>
        <w:b/>
        <w:bCs/>
        <w:color w:val="002060"/>
        <w:sz w:val="28"/>
        <w:szCs w:val="28"/>
      </w:rPr>
      <w:t>BUDYNKU NR 102</w:t>
    </w:r>
    <w:bookmarkStart w:id="2" w:name="_Hlk166054561"/>
  </w:p>
  <w:bookmarkEnd w:id="2"/>
  <w:p w:rsidR="00CD2BB1" w:rsidRDefault="00CD2BB1">
    <w:pPr>
      <w:pStyle w:val="Nagwek"/>
    </w:pPr>
  </w:p>
  <w:p w:rsidR="00CD2BB1" w:rsidRDefault="00CD2B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264" w:rsidRDefault="001F72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A00F1"/>
    <w:multiLevelType w:val="multilevel"/>
    <w:tmpl w:val="72D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14D99"/>
    <w:multiLevelType w:val="multilevel"/>
    <w:tmpl w:val="5E88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31102">
    <w:abstractNumId w:val="1"/>
  </w:num>
  <w:num w:numId="2" w16cid:durableId="58603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E7"/>
    <w:rsid w:val="000306E7"/>
    <w:rsid w:val="00073D55"/>
    <w:rsid w:val="00091053"/>
    <w:rsid w:val="000B4B63"/>
    <w:rsid w:val="00164C85"/>
    <w:rsid w:val="001D5569"/>
    <w:rsid w:val="001E0626"/>
    <w:rsid w:val="001F4A79"/>
    <w:rsid w:val="001F7264"/>
    <w:rsid w:val="002102E2"/>
    <w:rsid w:val="00270077"/>
    <w:rsid w:val="00273804"/>
    <w:rsid w:val="00316A2E"/>
    <w:rsid w:val="00331366"/>
    <w:rsid w:val="00381DB5"/>
    <w:rsid w:val="003963BC"/>
    <w:rsid w:val="00490594"/>
    <w:rsid w:val="004C2752"/>
    <w:rsid w:val="00536C77"/>
    <w:rsid w:val="005A26AF"/>
    <w:rsid w:val="005B7B0C"/>
    <w:rsid w:val="005C1E69"/>
    <w:rsid w:val="00626733"/>
    <w:rsid w:val="006271E9"/>
    <w:rsid w:val="0069187F"/>
    <w:rsid w:val="006B2029"/>
    <w:rsid w:val="006B4698"/>
    <w:rsid w:val="00721B01"/>
    <w:rsid w:val="00736F01"/>
    <w:rsid w:val="007771AB"/>
    <w:rsid w:val="007A471F"/>
    <w:rsid w:val="007B3C8D"/>
    <w:rsid w:val="007C459C"/>
    <w:rsid w:val="007C4700"/>
    <w:rsid w:val="008167A3"/>
    <w:rsid w:val="008A3CD8"/>
    <w:rsid w:val="008A6FD0"/>
    <w:rsid w:val="008C57D4"/>
    <w:rsid w:val="008D7901"/>
    <w:rsid w:val="00930C1F"/>
    <w:rsid w:val="00933BF4"/>
    <w:rsid w:val="00993925"/>
    <w:rsid w:val="009C4026"/>
    <w:rsid w:val="009D2347"/>
    <w:rsid w:val="009D363A"/>
    <w:rsid w:val="00A55D0A"/>
    <w:rsid w:val="00AB5470"/>
    <w:rsid w:val="00AC582D"/>
    <w:rsid w:val="00B32F9F"/>
    <w:rsid w:val="00B74EE9"/>
    <w:rsid w:val="00BA65B9"/>
    <w:rsid w:val="00C56D14"/>
    <w:rsid w:val="00C95B20"/>
    <w:rsid w:val="00CD2BB1"/>
    <w:rsid w:val="00CF6DFB"/>
    <w:rsid w:val="00D210D3"/>
    <w:rsid w:val="00D3704D"/>
    <w:rsid w:val="00DB61A8"/>
    <w:rsid w:val="00DB63C1"/>
    <w:rsid w:val="00DF51E6"/>
    <w:rsid w:val="00E21E84"/>
    <w:rsid w:val="00EE2F56"/>
    <w:rsid w:val="00EE3CED"/>
    <w:rsid w:val="00F64D5C"/>
    <w:rsid w:val="00F84DC9"/>
    <w:rsid w:val="00FA60E3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9540A-B75B-4DAC-BB6E-4CBFB117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7C4700"/>
    <w:pPr>
      <w:spacing w:after="0" w:line="240" w:lineRule="auto"/>
    </w:pPr>
    <w:rPr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C4700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F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6D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C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BB1"/>
  </w:style>
  <w:style w:type="paragraph" w:styleId="Stopka">
    <w:name w:val="footer"/>
    <w:basedOn w:val="Normalny"/>
    <w:link w:val="StopkaZnak"/>
    <w:uiPriority w:val="99"/>
    <w:unhideWhenUsed/>
    <w:rsid w:val="00C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BB1"/>
  </w:style>
  <w:style w:type="character" w:customStyle="1" w:styleId="s4">
    <w:name w:val="s4"/>
    <w:basedOn w:val="Domylnaczcionkaakapitu"/>
    <w:rsid w:val="004C2752"/>
  </w:style>
  <w:style w:type="character" w:customStyle="1" w:styleId="apple-converted-space">
    <w:name w:val="apple-converted-space"/>
    <w:basedOn w:val="Domylnaczcionkaakapitu"/>
    <w:rsid w:val="004C2752"/>
  </w:style>
  <w:style w:type="character" w:customStyle="1" w:styleId="s15">
    <w:name w:val="s15"/>
    <w:basedOn w:val="Domylnaczcionkaakapitu"/>
    <w:rsid w:val="004C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MAGDALENA JOZEFIAK</cp:lastModifiedBy>
  <cp:revision>18</cp:revision>
  <cp:lastPrinted>2024-04-04T19:16:00Z</cp:lastPrinted>
  <dcterms:created xsi:type="dcterms:W3CDTF">2024-05-08T09:47:00Z</dcterms:created>
  <dcterms:modified xsi:type="dcterms:W3CDTF">2024-08-06T07:39:00Z</dcterms:modified>
</cp:coreProperties>
</file>