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D940" w14:textId="58CF0021" w:rsidR="00FE46C6" w:rsidRDefault="00000000">
      <w:pPr>
        <w:widowControl w:val="0"/>
        <w:spacing w:line="360" w:lineRule="auto"/>
        <w:outlineLvl w:val="0"/>
      </w:pPr>
      <w:bookmarkStart w:id="0" w:name="_Toc18168220"/>
      <w:bookmarkStart w:id="1" w:name="_Toc61868252"/>
      <w:r>
        <w:rPr>
          <w:rFonts w:ascii="Arial" w:hAnsi="Arial" w:cs="Arial"/>
          <w:b/>
          <w:bCs/>
          <w:sz w:val="28"/>
          <w:szCs w:val="28"/>
        </w:rPr>
        <w:t xml:space="preserve">Załącznik nr 4 </w:t>
      </w:r>
      <w:bookmarkEnd w:id="0"/>
      <w:bookmarkEnd w:id="1"/>
    </w:p>
    <w:p w14:paraId="1F7A1ED4" w14:textId="77777777" w:rsidR="00FE46C6" w:rsidRDefault="00000000">
      <w:pPr>
        <w:spacing w:line="360" w:lineRule="auto"/>
        <w:rPr>
          <w:rFonts w:ascii="Arial" w:hAnsi="Arial" w:cs="Arial"/>
          <w:spacing w:val="-4"/>
        </w:rPr>
      </w:pPr>
      <w:r>
        <w:rPr>
          <w:rFonts w:ascii="Arial" w:hAnsi="Arial" w:cs="Arial"/>
          <w:spacing w:val="-4"/>
        </w:rPr>
        <w:t>Szczegółowy opis przedmiotu zamówienia zawierający postanowienia obligatoryjne dotyczące realizacji zamówienia oraz dane do oceny ryzyka.</w:t>
      </w:r>
    </w:p>
    <w:p w14:paraId="2AFD75CC" w14:textId="4563116B" w:rsidR="00FE46C6" w:rsidRDefault="00000000">
      <w:pPr>
        <w:pStyle w:val="Akapitzlist"/>
        <w:widowControl w:val="0"/>
        <w:numPr>
          <w:ilvl w:val="0"/>
          <w:numId w:val="6"/>
        </w:numPr>
        <w:spacing w:before="60" w:after="60" w:line="360" w:lineRule="auto"/>
        <w:ind w:left="425" w:hanging="425"/>
        <w:rPr>
          <w:rFonts w:ascii="Arial" w:hAnsi="Arial" w:cs="Arial"/>
          <w:spacing w:val="-4"/>
        </w:rPr>
      </w:pPr>
      <w:r>
        <w:rPr>
          <w:rFonts w:ascii="Arial" w:hAnsi="Arial" w:cs="Arial"/>
          <w:spacing w:val="-4"/>
        </w:rPr>
        <w:t>Wykonawca wykonując usługę będzie obejmował ochroną ubezpieczeniową wszystkie ryzyka i mienie wskazane w </w:t>
      </w:r>
      <w:r w:rsidR="006E0076">
        <w:rPr>
          <w:rFonts w:ascii="Arial" w:hAnsi="Arial" w:cs="Arial"/>
          <w:spacing w:val="-4"/>
        </w:rPr>
        <w:t>SWZ</w:t>
      </w:r>
      <w:r>
        <w:rPr>
          <w:rFonts w:ascii="Arial" w:hAnsi="Arial" w:cs="Arial"/>
          <w:spacing w:val="-4"/>
        </w:rPr>
        <w:t xml:space="preserve">, na warunkach wyznaczonych treścią </w:t>
      </w:r>
      <w:proofErr w:type="spellStart"/>
      <w:r w:rsidR="006E0076">
        <w:rPr>
          <w:rFonts w:ascii="Arial" w:hAnsi="Arial" w:cs="Arial"/>
          <w:spacing w:val="-4"/>
        </w:rPr>
        <w:t>niejszej</w:t>
      </w:r>
      <w:proofErr w:type="spellEnd"/>
      <w:r w:rsidR="006E0076">
        <w:rPr>
          <w:rFonts w:ascii="Arial" w:hAnsi="Arial" w:cs="Arial"/>
          <w:spacing w:val="-4"/>
        </w:rPr>
        <w:t xml:space="preserve"> SWZ</w:t>
      </w:r>
      <w:r>
        <w:rPr>
          <w:rFonts w:ascii="Arial" w:hAnsi="Arial" w:cs="Arial"/>
          <w:spacing w:val="-4"/>
        </w:rPr>
        <w:t xml:space="preserve"> i zgodnych ze złożoną ofertą.</w:t>
      </w:r>
    </w:p>
    <w:p w14:paraId="589CD139" w14:textId="39B06327" w:rsidR="00FE46C6" w:rsidRDefault="00000000">
      <w:pPr>
        <w:pStyle w:val="Akapitzlist"/>
        <w:widowControl w:val="0"/>
        <w:numPr>
          <w:ilvl w:val="0"/>
          <w:numId w:val="5"/>
        </w:numPr>
        <w:spacing w:before="60" w:after="60" w:line="360" w:lineRule="auto"/>
        <w:ind w:left="425" w:hanging="425"/>
      </w:pPr>
      <w:r>
        <w:rPr>
          <w:rFonts w:ascii="Arial" w:hAnsi="Arial" w:cs="Arial"/>
          <w:spacing w:val="-6"/>
        </w:rPr>
        <w:t>Ogólne lub szczególne warunki ubezpieczenia, którymi posługuje się Wykonawca (aktualne na dzień składania ofert) i które</w:t>
      </w:r>
      <w:r>
        <w:rPr>
          <w:rFonts w:ascii="Arial" w:hAnsi="Arial" w:cs="Arial"/>
          <w:spacing w:val="-4"/>
        </w:rPr>
        <w:t xml:space="preserve"> wskazuje w dokumencie potwierdzającym ochronę ubezpieczeniową w zakresie </w:t>
      </w:r>
      <w:proofErr w:type="spellStart"/>
      <w:r>
        <w:rPr>
          <w:rFonts w:ascii="Arial" w:hAnsi="Arial" w:cs="Arial"/>
          <w:spacing w:val="-4"/>
        </w:rPr>
        <w:t>ryzyk</w:t>
      </w:r>
      <w:proofErr w:type="spellEnd"/>
      <w:r>
        <w:rPr>
          <w:rFonts w:ascii="Arial" w:hAnsi="Arial" w:cs="Arial"/>
          <w:spacing w:val="-4"/>
        </w:rPr>
        <w:t xml:space="preserve"> określonych w </w:t>
      </w:r>
      <w:r w:rsidR="006E0076">
        <w:rPr>
          <w:rFonts w:ascii="Arial" w:hAnsi="Arial" w:cs="Arial"/>
          <w:spacing w:val="-4"/>
        </w:rPr>
        <w:t>SWZ</w:t>
      </w:r>
      <w:r>
        <w:rPr>
          <w:rFonts w:ascii="Arial" w:hAnsi="Arial" w:cs="Arial"/>
          <w:spacing w:val="-4"/>
        </w:rPr>
        <w:t>, mają zastosowanie tylko w kwestiach nieuregulowanych w </w:t>
      </w:r>
      <w:r w:rsidR="006E0076">
        <w:rPr>
          <w:rFonts w:ascii="Arial" w:hAnsi="Arial" w:cs="Arial"/>
          <w:spacing w:val="-4"/>
        </w:rPr>
        <w:t>SWZ</w:t>
      </w:r>
      <w:r>
        <w:rPr>
          <w:rFonts w:ascii="Arial" w:hAnsi="Arial" w:cs="Arial"/>
          <w:spacing w:val="-4"/>
        </w:rPr>
        <w:t xml:space="preserve"> i umowie. Jeśli ogólne lub szczególne warunki ubezpieczenia stosowane przez Wykonawcę nie przewidują wymaganego zakresu ochrony, przyjmuje się, że zostanie on rozszerzony i dostosowany do wymogów </w:t>
      </w:r>
      <w:r w:rsidR="006E0076">
        <w:rPr>
          <w:rFonts w:ascii="Arial" w:hAnsi="Arial" w:cs="Arial"/>
          <w:spacing w:val="-4"/>
        </w:rPr>
        <w:t>niniejszego postępowania</w:t>
      </w:r>
      <w:r>
        <w:rPr>
          <w:rFonts w:ascii="Arial" w:hAnsi="Arial" w:cs="Arial"/>
          <w:spacing w:val="-4"/>
        </w:rPr>
        <w:t xml:space="preserve"> w drodze postanowień dodatkowych. Tylko takie zapisy ogólnych i szczególnych warunków ubezpieczenia uznaje się za dozwolone, które nie są sprzeczne z wymaganiami określonymi w </w:t>
      </w:r>
      <w:proofErr w:type="spellStart"/>
      <w:r w:rsidR="006E0076">
        <w:rPr>
          <w:rFonts w:ascii="Arial" w:hAnsi="Arial" w:cs="Arial"/>
          <w:spacing w:val="-4"/>
        </w:rPr>
        <w:t>nieniejszym</w:t>
      </w:r>
      <w:proofErr w:type="spellEnd"/>
      <w:r w:rsidR="006E0076">
        <w:rPr>
          <w:rFonts w:ascii="Arial" w:hAnsi="Arial" w:cs="Arial"/>
          <w:spacing w:val="-4"/>
        </w:rPr>
        <w:t xml:space="preserve"> SWZ</w:t>
      </w:r>
      <w:r>
        <w:rPr>
          <w:rFonts w:ascii="Arial" w:hAnsi="Arial" w:cs="Arial"/>
          <w:spacing w:val="-4"/>
        </w:rPr>
        <w:t>.</w:t>
      </w:r>
    </w:p>
    <w:p w14:paraId="131367CE" w14:textId="792DB4F8"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Przez cały okres wykonywania zamówienia Wykonawca gwarantuje niezmienność ogólnych i szczegól</w:t>
      </w:r>
      <w:r>
        <w:rPr>
          <w:rFonts w:ascii="Arial" w:hAnsi="Arial" w:cs="Arial"/>
          <w:spacing w:val="-4"/>
        </w:rPr>
        <w:softHyphen/>
        <w:t>nych warunków ubezpieczenia. Wyjątek od tej zasady dopuszczalny będzie w przypadku zmian powszechnie obowiązujących przepisów prawa, w szczególności przepisów Kodeksu cywilnego, ustawy z dnia 22 maja 2003 r. o ubezpieczeniach obowiązkowych, Ubezpieczeniowym Funduszu Gwarancyjnym i Polskim Biurze Ubezpieczycieli Komunikacyjnych - w zakresie, w jakim zmiany te dotyczyć będą postanowień umów ubezpieczenia wskazanych w </w:t>
      </w:r>
      <w:r w:rsidR="006E0076">
        <w:rPr>
          <w:rFonts w:ascii="Arial" w:hAnsi="Arial" w:cs="Arial"/>
          <w:spacing w:val="-4"/>
        </w:rPr>
        <w:t>SWZ</w:t>
      </w:r>
      <w:r>
        <w:rPr>
          <w:rFonts w:ascii="Arial" w:hAnsi="Arial" w:cs="Arial"/>
          <w:spacing w:val="-4"/>
        </w:rPr>
        <w:t>.</w:t>
      </w:r>
    </w:p>
    <w:p w14:paraId="6A81F31F" w14:textId="5AC4E9B4"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Zamawiający nie stawia jednak wymogu, aby Wykonawca posiadał ogólne warunki ubezpieczenia dla każdego rodzaju ubezpieczenia wskazanego w opisie przedmiotu zamówienia, z uwagi na fakt, że postanowienia </w:t>
      </w:r>
      <w:r w:rsidR="006E0076">
        <w:rPr>
          <w:rFonts w:ascii="Arial" w:hAnsi="Arial" w:cs="Arial"/>
          <w:spacing w:val="-4"/>
        </w:rPr>
        <w:t>SWZ</w:t>
      </w:r>
      <w:r>
        <w:rPr>
          <w:rFonts w:ascii="Arial" w:hAnsi="Arial" w:cs="Arial"/>
          <w:spacing w:val="-4"/>
        </w:rPr>
        <w:t xml:space="preserve"> i umowy mają pierwszeństwo przed ustaleniami tego rodzaju dokumentów. W przypadku braku warunków odpowiadających ubezpieczeniu zawartemu w </w:t>
      </w:r>
      <w:r w:rsidR="006E0076">
        <w:rPr>
          <w:rFonts w:ascii="Arial" w:hAnsi="Arial" w:cs="Arial"/>
          <w:spacing w:val="-4"/>
        </w:rPr>
        <w:t>SWZ</w:t>
      </w:r>
      <w:r>
        <w:rPr>
          <w:rFonts w:ascii="Arial" w:hAnsi="Arial" w:cs="Arial"/>
          <w:spacing w:val="-4"/>
        </w:rPr>
        <w:t xml:space="preserve"> w sprawach nieure</w:t>
      </w:r>
      <w:r>
        <w:rPr>
          <w:rFonts w:ascii="Arial" w:hAnsi="Arial" w:cs="Arial"/>
          <w:spacing w:val="-4"/>
        </w:rPr>
        <w:softHyphen/>
        <w:t>gu</w:t>
      </w:r>
      <w:r>
        <w:rPr>
          <w:rFonts w:ascii="Arial" w:hAnsi="Arial" w:cs="Arial"/>
          <w:spacing w:val="-4"/>
        </w:rPr>
        <w:softHyphen/>
        <w:t xml:space="preserve">lowanych przez Zamawiającego będą miały zastosowanie wyłącznie obowiązujące przepisy prawa, w szczególności Kodeksu cywilnego oraz ewentualnie inne ogólne lub szczególne warunki ubezpieczenia wskazane przez wykonawcę, w zakresie niestojącym w sprzeczności z wymaganiami </w:t>
      </w:r>
      <w:proofErr w:type="spellStart"/>
      <w:r w:rsidR="006E0076">
        <w:rPr>
          <w:rFonts w:ascii="Arial" w:hAnsi="Arial" w:cs="Arial"/>
          <w:spacing w:val="-4"/>
        </w:rPr>
        <w:t>nieniejszego</w:t>
      </w:r>
      <w:proofErr w:type="spellEnd"/>
      <w:r w:rsidR="006E0076">
        <w:rPr>
          <w:rFonts w:ascii="Arial" w:hAnsi="Arial" w:cs="Arial"/>
          <w:spacing w:val="-4"/>
        </w:rPr>
        <w:t xml:space="preserve"> postępowania</w:t>
      </w:r>
      <w:r>
        <w:rPr>
          <w:rFonts w:ascii="Arial" w:hAnsi="Arial" w:cs="Arial"/>
          <w:spacing w:val="-4"/>
        </w:rPr>
        <w:t>.</w:t>
      </w:r>
    </w:p>
    <w:p w14:paraId="1658C953"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Wykonawca gwarantuje niezmienność warunków, stawek i składek rocznych </w:t>
      </w:r>
      <w:r>
        <w:rPr>
          <w:rFonts w:ascii="Arial" w:hAnsi="Arial" w:cs="Arial"/>
          <w:spacing w:val="-4"/>
        </w:rPr>
        <w:lastRenderedPageBreak/>
        <w:t>wynikających ze złożonej oferty, przez cały okres wykonywania zamówienia i we wszystkich rodzajach ubezpieczeń.</w:t>
      </w:r>
    </w:p>
    <w:p w14:paraId="67303F8E"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W przypadku zaistnienia konieczności zwrotu składki ubezpieczeniowej przez Wykonawcę, w jakim</w:t>
      </w:r>
      <w:r>
        <w:rPr>
          <w:rFonts w:ascii="Arial" w:hAnsi="Arial" w:cs="Arial"/>
          <w:spacing w:val="-4"/>
        </w:rPr>
        <w:softHyphen/>
        <w:t>kol</w:t>
      </w:r>
      <w:r>
        <w:rPr>
          <w:rFonts w:ascii="Arial" w:hAnsi="Arial" w:cs="Arial"/>
          <w:spacing w:val="-4"/>
        </w:rPr>
        <w:softHyphen/>
        <w:t xml:space="preserve">wiek przypadku, zwracana jest ona bez żadnych potrąceń </w:t>
      </w:r>
      <w:r>
        <w:rPr>
          <w:rFonts w:ascii="Arial" w:hAnsi="Arial" w:cs="Arial"/>
          <w:spacing w:val="-4"/>
        </w:rPr>
        <w:br/>
        <w:t>i bez odliczania: kosztów administra</w:t>
      </w:r>
      <w:r>
        <w:rPr>
          <w:rFonts w:ascii="Arial" w:hAnsi="Arial" w:cs="Arial"/>
          <w:spacing w:val="-4"/>
        </w:rPr>
        <w:softHyphen/>
        <w:t xml:space="preserve">cyjnych, manipulacyjnych, akwizycyjnych, itp. </w:t>
      </w:r>
    </w:p>
    <w:p w14:paraId="41031296" w14:textId="77777777" w:rsidR="00FE46C6" w:rsidRPr="00AC58E8" w:rsidRDefault="00000000">
      <w:pPr>
        <w:pStyle w:val="Akapitzlist"/>
        <w:widowControl w:val="0"/>
        <w:numPr>
          <w:ilvl w:val="0"/>
          <w:numId w:val="5"/>
        </w:numPr>
        <w:spacing w:before="60" w:after="60" w:line="360" w:lineRule="auto"/>
        <w:ind w:left="425" w:hanging="425"/>
      </w:pPr>
      <w:r>
        <w:rPr>
          <w:rFonts w:ascii="Arial" w:hAnsi="Arial" w:cs="Arial"/>
          <w:spacing w:val="-4"/>
        </w:rPr>
        <w:t xml:space="preserve">Składka ubezpieczeniowa w pełnym roku ubezpieczeniowym (polisowym) płatna </w:t>
      </w:r>
      <w:r w:rsidRPr="00AC58E8">
        <w:rPr>
          <w:rFonts w:ascii="Arial" w:hAnsi="Arial" w:cs="Arial"/>
          <w:spacing w:val="-4"/>
        </w:rPr>
        <w:t xml:space="preserve">będzie w </w:t>
      </w:r>
      <w:r w:rsidR="00AC58E8">
        <w:rPr>
          <w:rFonts w:ascii="Arial" w:hAnsi="Arial" w:cs="Arial"/>
          <w:spacing w:val="-4"/>
        </w:rPr>
        <w:t>4 ratach</w:t>
      </w:r>
      <w:r w:rsidRPr="00AC58E8">
        <w:rPr>
          <w:rFonts w:ascii="Arial" w:hAnsi="Arial" w:cs="Arial"/>
          <w:spacing w:val="-4"/>
        </w:rPr>
        <w:t xml:space="preserve">. </w:t>
      </w:r>
    </w:p>
    <w:p w14:paraId="2DECE2D4"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Zwrot składek może odbywać się – na wniosek ubezpieczającego - poprzez obniżenie następnych rat składki.</w:t>
      </w:r>
    </w:p>
    <w:p w14:paraId="73C6ACCA"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Określone w załącznikach do niniejszej specyfikacji sumy ubezpieczenia/ gwarancyjne i limity lub </w:t>
      </w:r>
      <w:proofErr w:type="spellStart"/>
      <w:r>
        <w:rPr>
          <w:rFonts w:ascii="Arial" w:hAnsi="Arial" w:cs="Arial"/>
          <w:spacing w:val="-4"/>
        </w:rPr>
        <w:t>podlimity</w:t>
      </w:r>
      <w:proofErr w:type="spellEnd"/>
      <w:r>
        <w:rPr>
          <w:rFonts w:ascii="Arial" w:hAnsi="Arial" w:cs="Arial"/>
          <w:spacing w:val="-4"/>
        </w:rPr>
        <w:t xml:space="preserve"> odszkodowawcze w zakresie obligatoryjnym (w tym określone w klauzulach) oraz zaakce</w:t>
      </w:r>
      <w:r>
        <w:rPr>
          <w:rFonts w:ascii="Arial" w:hAnsi="Arial" w:cs="Arial"/>
          <w:spacing w:val="-4"/>
        </w:rPr>
        <w:softHyphen/>
        <w:t>pto</w:t>
      </w:r>
      <w:r>
        <w:rPr>
          <w:rFonts w:ascii="Arial" w:hAnsi="Arial" w:cs="Arial"/>
          <w:spacing w:val="-4"/>
        </w:rPr>
        <w:softHyphen/>
        <w:t>wane przez Wykonawcę w zakresie fakultatywnym (w tym określone w klauzulach), obowiązują w każdym 12-miesięcznym okresie ubezpieczenia.</w:t>
      </w:r>
    </w:p>
    <w:p w14:paraId="27DFB00E"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Wprowadzenie dla poszczególnych </w:t>
      </w:r>
      <w:proofErr w:type="spellStart"/>
      <w:r>
        <w:rPr>
          <w:rFonts w:ascii="Arial" w:hAnsi="Arial" w:cs="Arial"/>
          <w:spacing w:val="-4"/>
        </w:rPr>
        <w:t>ryzyk</w:t>
      </w:r>
      <w:proofErr w:type="spellEnd"/>
      <w:r>
        <w:rPr>
          <w:rFonts w:ascii="Arial" w:hAnsi="Arial" w:cs="Arial"/>
          <w:spacing w:val="-4"/>
        </w:rPr>
        <w:t xml:space="preserve"> lub rozszerzeń zakresu ubezpieczenia limitów lub </w:t>
      </w:r>
      <w:proofErr w:type="spellStart"/>
      <w:r>
        <w:rPr>
          <w:rFonts w:ascii="Arial" w:hAnsi="Arial" w:cs="Arial"/>
          <w:spacing w:val="-4"/>
        </w:rPr>
        <w:t>podlimi</w:t>
      </w:r>
      <w:r>
        <w:rPr>
          <w:rFonts w:ascii="Arial" w:hAnsi="Arial" w:cs="Arial"/>
          <w:spacing w:val="-4"/>
        </w:rPr>
        <w:softHyphen/>
        <w:t>tów</w:t>
      </w:r>
      <w:proofErr w:type="spellEnd"/>
      <w:r>
        <w:rPr>
          <w:rFonts w:ascii="Arial" w:hAnsi="Arial" w:cs="Arial"/>
          <w:spacing w:val="-4"/>
        </w:rPr>
        <w:t xml:space="preserve"> odszkodowawczych innych albo dodatkowych niż określone w załącznikach do specyfikacji jest niedopuszczalne.</w:t>
      </w:r>
    </w:p>
    <w:p w14:paraId="4B71C780" w14:textId="622E67DC"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Nie obowiązują jakiekolwiek okresy karencji w odniesieniu do </w:t>
      </w:r>
      <w:proofErr w:type="spellStart"/>
      <w:r>
        <w:rPr>
          <w:rFonts w:ascii="Arial" w:hAnsi="Arial" w:cs="Arial"/>
          <w:spacing w:val="-4"/>
        </w:rPr>
        <w:t>ryzyk</w:t>
      </w:r>
      <w:proofErr w:type="spellEnd"/>
      <w:r>
        <w:rPr>
          <w:rFonts w:ascii="Arial" w:hAnsi="Arial" w:cs="Arial"/>
          <w:spacing w:val="-4"/>
        </w:rPr>
        <w:t xml:space="preserve"> wymienionych </w:t>
      </w:r>
      <w:r w:rsidR="006E0076">
        <w:rPr>
          <w:rFonts w:ascii="Arial" w:hAnsi="Arial" w:cs="Arial"/>
          <w:spacing w:val="-4"/>
        </w:rPr>
        <w:br/>
      </w:r>
      <w:r>
        <w:rPr>
          <w:rFonts w:ascii="Arial" w:hAnsi="Arial" w:cs="Arial"/>
          <w:spacing w:val="-4"/>
        </w:rPr>
        <w:t xml:space="preserve">w </w:t>
      </w:r>
      <w:r w:rsidR="006E0076">
        <w:rPr>
          <w:rFonts w:ascii="Arial" w:hAnsi="Arial" w:cs="Arial"/>
          <w:spacing w:val="-4"/>
        </w:rPr>
        <w:t>SWZ</w:t>
      </w:r>
      <w:r>
        <w:rPr>
          <w:rFonts w:ascii="Arial" w:hAnsi="Arial" w:cs="Arial"/>
          <w:spacing w:val="-4"/>
        </w:rPr>
        <w:t>.</w:t>
      </w:r>
    </w:p>
    <w:p w14:paraId="66FF5F1A"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W przypadku zaistnienia szkody (zdarzenia, wypadku ubezpieczeniowego), w odniesieniu do której odpowiedzialność ubezpieczyciela wynikała będzie z różnych postanowień określonych w zakresie ubezpieczenia i/lub warunkach dodatkowych (obligatoryjnych i zaakceptowanych fakultatywnych) i/lub klauzulach (obligatoryjnych i zaakceptowanych fakultatywnych), zastosowanie będą miały postanowienia korzystniejsze dla zamawiającego (ubezpieczającego i ubezpieczonego), przez które w szczególności należy rozumieć szerszy zakres ubezpieczenia, wyższe limity odpowiedzialności, mniejsze jej ograniczenia, a także niższe franszyzy i udziały własne. </w:t>
      </w:r>
    </w:p>
    <w:p w14:paraId="6DF04DF8"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Jeżeli ogólne lub szczególne warunki ubezpieczenia przewidują odmowę lub ograniczenie wypłaty odszkodowania, lub ograniczenie bądź zawieszenie ochrony ubezpieczeniowej z powodu niedopełnienia przez zamawiającego (ubezpieczającego lub ubezpieczonego) wymienionych w nich obowiązków, nie będą miały one zastosowania, jeśli ich niedopełnienie nie było obarczone winą </w:t>
      </w:r>
      <w:r>
        <w:rPr>
          <w:rFonts w:ascii="Arial" w:hAnsi="Arial" w:cs="Arial"/>
          <w:spacing w:val="-4"/>
        </w:rPr>
        <w:lastRenderedPageBreak/>
        <w:t>umyślną lub rażącym niedbalstwem i nie miało wpływu na wystąpienie lub rozmiar szkody.</w:t>
      </w:r>
    </w:p>
    <w:p w14:paraId="36EC2804"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Jeżeli ogólne lub szczególne warunki ubezpieczenia przewidują ograniczenie lub odmowę wypłaty odszko</w:t>
      </w:r>
      <w:r>
        <w:rPr>
          <w:rFonts w:ascii="Arial" w:hAnsi="Arial" w:cs="Arial"/>
          <w:spacing w:val="-4"/>
        </w:rPr>
        <w:softHyphen/>
        <w:t>do</w:t>
      </w:r>
      <w:r>
        <w:rPr>
          <w:rFonts w:ascii="Arial" w:hAnsi="Arial" w:cs="Arial"/>
          <w:spacing w:val="-4"/>
        </w:rPr>
        <w:softHyphen/>
        <w:t>wania przez Wykonawcę za niewypełnienie przez Zamawiającego (ubezpieczającego lub ubezpie</w:t>
      </w:r>
      <w:r>
        <w:rPr>
          <w:rFonts w:ascii="Arial" w:hAnsi="Arial" w:cs="Arial"/>
          <w:spacing w:val="-4"/>
        </w:rPr>
        <w:softHyphen/>
        <w:t>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14:paraId="1CC80423"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Jeżeli ogólne lub szczególne warunki ubezpieczenia określają w jakikolwiek sposób wzrost zagrożenia, zwiększenie ryzyka lub sytuacje, w których uważa się, że zagrożenie powstania szkody wzrosło, albo też wymieniają przesłanki pozwalające określić zagrożenie jako szczególne lub istotne, to postano</w:t>
      </w:r>
      <w:r>
        <w:rPr>
          <w:rFonts w:ascii="Arial" w:hAnsi="Arial" w:cs="Arial"/>
          <w:spacing w:val="-4"/>
        </w:rPr>
        <w:softHyphen/>
        <w:t>wienia takie nie mają zastosowania. Dotyczy to zwłaszcza uzyskania w takiej sytuacji przez Wykonawcę prawa do jednostronnego wypowiedzenia umowy ubezpieczenia, jak również skutku w postaci natychmiastowego braku ochrony ubezpieczeniowej. Zamiast takiego rodzaju postanowień zastoso</w:t>
      </w:r>
      <w:r>
        <w:rPr>
          <w:rFonts w:ascii="Arial" w:hAnsi="Arial" w:cs="Arial"/>
          <w:spacing w:val="-4"/>
        </w:rPr>
        <w:softHyphen/>
        <w:t>wanie mają odpowiednie przepisy powszechnie obowiązującego prawa, przede wszystkim przepisy Kodeksu cywilnego, dotyczące umowy ubezpieczenia.</w:t>
      </w:r>
    </w:p>
    <w:p w14:paraId="40536EA8"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Jeżeli ogólne lub szczególne warunki ubezpieczenia, lub Wykonawca w odpowiednim wezwaniu zobowiązuje ubezpieczającego lub ubezpieczonego do usunięcia zagrożeń lub szczególnych zagrożeń, za wypełnienie tego zobowiązania uznaje się podjęcie działań zmierzających do minimalizacji tych zagrożeń, nawet jeśli działania takie okazałyby się nieskuteczne.   </w:t>
      </w:r>
    </w:p>
    <w:p w14:paraId="5BC908DC"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Jeżeli Zamawiający (ubezpieczający lub ubezpieczony) na skutek błędu lub przeoczenia nie przekaże Wykonawcy istotnych informacji mających związek z umową ubezpieczenia, a działanie takie nie będzie skutkiem winy umyślnej, to fakt nieprzekazania nie może być powodem odmowy wypłaty odszkodowania lub jego redukcji, pod warunkiem niezwłocznego uzupełnienia tych danych.</w:t>
      </w:r>
    </w:p>
    <w:p w14:paraId="4A65B3FE"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Wykonawca zobowiązany jest prowadzić postępowanie zmierzające do wyjaśnienia i ustalenia okoliczności związanych ze szkodą – niezależnie od wysokości zgłoszonego roszczenia (np. ustalenie przebiegu zdarzenia, jego stanu faktycznego, ustalenie osoby sprawcy, określenie zasadności roszczenia) oraz wypłacić należne </w:t>
      </w:r>
      <w:r>
        <w:rPr>
          <w:rFonts w:ascii="Arial" w:hAnsi="Arial" w:cs="Arial"/>
          <w:spacing w:val="-4"/>
        </w:rPr>
        <w:lastRenderedPageBreak/>
        <w:t>odszkodowanie, bez konieczności oczekiwania na prawomocne postanowienie kończące postępowanie w sprawie dotyczącej szkody, chyba że postanowienie takie będzie bezwzględnie konieczne do uznania odpowiedzialności przez Wykonawcę</w:t>
      </w:r>
    </w:p>
    <w:p w14:paraId="3AB6E978"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W przypadku szkody częściowej wykonawca ponosi odpowiedzialność do wysokości szkody, maksymalnie do wysokości podanej sumy ubezpieczenia, powiększonej o limity wynikające z klauzul i warunków dodatkowych.</w:t>
      </w:r>
    </w:p>
    <w:p w14:paraId="16278467" w14:textId="294AAE82"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Wykonawca akceptuje obligatoryjne zasady likwidacji szkód określone w załącznikach do </w:t>
      </w:r>
      <w:r w:rsidR="006E0076">
        <w:rPr>
          <w:rFonts w:ascii="Arial" w:hAnsi="Arial" w:cs="Arial"/>
          <w:spacing w:val="-4"/>
        </w:rPr>
        <w:t>SWZ</w:t>
      </w:r>
      <w:r>
        <w:rPr>
          <w:rFonts w:ascii="Arial" w:hAnsi="Arial" w:cs="Arial"/>
          <w:spacing w:val="-4"/>
        </w:rPr>
        <w:t>.</w:t>
      </w:r>
    </w:p>
    <w:p w14:paraId="050F14CD"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Jeżeli zapisy opisu przedmiotu zamówienia oraz ogólnych lub szczególnych warunków ubezpieczenia będą budziły jakiekolwiek wątpliwości, będą nieprecyzyjne lub niejasne, to we wszystkich takich przypadkach będą one zawsze interpretowane na korzyść zamawiającego.</w:t>
      </w:r>
    </w:p>
    <w:p w14:paraId="2E9DA47C" w14:textId="49D9BA93" w:rsidR="00FE46C6" w:rsidRDefault="00000000">
      <w:pPr>
        <w:pStyle w:val="Akapitzlist"/>
        <w:widowControl w:val="0"/>
        <w:numPr>
          <w:ilvl w:val="0"/>
          <w:numId w:val="5"/>
        </w:numPr>
        <w:spacing w:before="60" w:after="60" w:line="360" w:lineRule="auto"/>
        <w:ind w:left="425" w:hanging="425"/>
      </w:pPr>
      <w:r>
        <w:rPr>
          <w:rFonts w:ascii="Arial" w:hAnsi="Arial" w:cs="Arial"/>
          <w:bCs/>
          <w:spacing w:val="-4"/>
        </w:rPr>
        <w:t xml:space="preserve">Wykaz pojazdów deklarowanych do ubezpieczenia </w:t>
      </w:r>
      <w:r w:rsidR="00AC58E8">
        <w:rPr>
          <w:rFonts w:ascii="Arial" w:hAnsi="Arial" w:cs="Arial"/>
          <w:bCs/>
          <w:spacing w:val="-4"/>
        </w:rPr>
        <w:t xml:space="preserve">Zamawiający </w:t>
      </w:r>
      <w:r w:rsidR="00F72AE7">
        <w:rPr>
          <w:rFonts w:ascii="Arial" w:hAnsi="Arial" w:cs="Arial"/>
          <w:bCs/>
          <w:spacing w:val="-4"/>
        </w:rPr>
        <w:t xml:space="preserve">wskaże </w:t>
      </w:r>
      <w:r w:rsidR="00AC58E8">
        <w:rPr>
          <w:rFonts w:ascii="Arial" w:hAnsi="Arial" w:cs="Arial"/>
          <w:bCs/>
          <w:spacing w:val="-4"/>
        </w:rPr>
        <w:t>po podpisaniu umowy</w:t>
      </w:r>
      <w:r>
        <w:rPr>
          <w:rFonts w:ascii="Arial" w:hAnsi="Arial" w:cs="Arial"/>
          <w:bCs/>
          <w:spacing w:val="-4"/>
        </w:rPr>
        <w:t>.</w:t>
      </w:r>
    </w:p>
    <w:p w14:paraId="70BC02BC"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Strony umowy w sprawie zamówienia i poszczególnych umów ubezpieczenia zobowiązują się do zachowania w tajemnicy wobec osób trzecich informacji poufnych, które mogą być wykorzystywane wyłącznie w celu realizacji przedmiotu umowy.</w:t>
      </w:r>
    </w:p>
    <w:p w14:paraId="77C1D064" w14:textId="77777777" w:rsidR="00FE46C6" w:rsidRDefault="00FE46C6">
      <w:pPr>
        <w:pageBreakBefore/>
        <w:suppressAutoHyphens w:val="0"/>
        <w:spacing w:after="160" w:line="249" w:lineRule="auto"/>
        <w:rPr>
          <w:rFonts w:ascii="Arial" w:hAnsi="Arial" w:cs="Arial"/>
          <w:spacing w:val="-4"/>
          <w:sz w:val="2"/>
          <w:szCs w:val="2"/>
        </w:rPr>
      </w:pPr>
    </w:p>
    <w:p w14:paraId="61649452" w14:textId="6F072FE4" w:rsidR="00FE46C6" w:rsidRPr="007A5459" w:rsidRDefault="00000000" w:rsidP="003948FF">
      <w:pPr>
        <w:pStyle w:val="Nagwek1"/>
        <w:numPr>
          <w:ilvl w:val="0"/>
          <w:numId w:val="0"/>
        </w:numPr>
        <w:ind w:left="432"/>
        <w:rPr>
          <w:sz w:val="28"/>
          <w:szCs w:val="28"/>
        </w:rPr>
      </w:pPr>
      <w:bookmarkStart w:id="2" w:name="_Toc61508004"/>
      <w:bookmarkStart w:id="3" w:name="_Toc61868281"/>
      <w:r w:rsidRPr="007A5459">
        <w:rPr>
          <w:sz w:val="28"/>
          <w:szCs w:val="28"/>
        </w:rPr>
        <w:t xml:space="preserve">Załącznik nr 5 </w:t>
      </w:r>
      <w:bookmarkEnd w:id="2"/>
      <w:bookmarkEnd w:id="3"/>
    </w:p>
    <w:p w14:paraId="6A9B01B3" w14:textId="1C87D297" w:rsidR="00FE46C6" w:rsidRDefault="00000000">
      <w:pPr>
        <w:spacing w:line="360" w:lineRule="auto"/>
        <w:rPr>
          <w:rFonts w:ascii="Arial" w:hAnsi="Arial" w:cs="Arial"/>
          <w:spacing w:val="-4"/>
        </w:rPr>
      </w:pPr>
      <w:bookmarkStart w:id="4" w:name="_Hlk106884376"/>
      <w:r>
        <w:rPr>
          <w:rFonts w:ascii="Arial" w:hAnsi="Arial" w:cs="Arial"/>
          <w:spacing w:val="-4"/>
        </w:rPr>
        <w:t xml:space="preserve">Szczegółowy opis przedmiotu zamówienia zawierający warunki obligatoryjne oraz klauzule dodatkowe i inne postanowienia szczególne fakultatywne dla ubezpieczenia </w:t>
      </w:r>
      <w:r w:rsidR="005C6BE1">
        <w:rPr>
          <w:rFonts w:ascii="Arial" w:hAnsi="Arial" w:cs="Arial"/>
          <w:spacing w:val="-4"/>
        </w:rPr>
        <w:t>pojazdów</w:t>
      </w:r>
      <w:r>
        <w:rPr>
          <w:rFonts w:ascii="Arial" w:hAnsi="Arial" w:cs="Arial"/>
          <w:spacing w:val="-4"/>
        </w:rPr>
        <w:t xml:space="preserve">, tj. Komunikacji Miejskiej Rybnik </w:t>
      </w:r>
      <w:proofErr w:type="spellStart"/>
      <w:r>
        <w:rPr>
          <w:rFonts w:ascii="Arial" w:hAnsi="Arial" w:cs="Arial"/>
          <w:spacing w:val="-4"/>
        </w:rPr>
        <w:t>Sp</w:t>
      </w:r>
      <w:proofErr w:type="spellEnd"/>
      <w:r>
        <w:rPr>
          <w:rFonts w:ascii="Arial" w:hAnsi="Arial" w:cs="Arial"/>
          <w:spacing w:val="-4"/>
        </w:rPr>
        <w:t xml:space="preserve"> z o.o. z siedzibą w Rybniku.</w:t>
      </w:r>
    </w:p>
    <w:p w14:paraId="579D3027" w14:textId="77777777" w:rsidR="00FE46C6" w:rsidRDefault="00000000">
      <w:pPr>
        <w:pStyle w:val="Akapitzlist"/>
        <w:widowControl w:val="0"/>
        <w:numPr>
          <w:ilvl w:val="0"/>
          <w:numId w:val="8"/>
        </w:numPr>
        <w:spacing w:before="240" w:line="360" w:lineRule="auto"/>
        <w:ind w:left="425" w:hanging="425"/>
      </w:pPr>
      <w:bookmarkStart w:id="5" w:name="_Toc61868282"/>
      <w:bookmarkEnd w:id="4"/>
      <w:r>
        <w:rPr>
          <w:rFonts w:ascii="Arial" w:hAnsi="Arial" w:cs="Arial"/>
          <w:b/>
          <w:spacing w:val="-4"/>
        </w:rPr>
        <w:t>Przedmiot ubezpieczenia.</w:t>
      </w:r>
      <w:bookmarkEnd w:id="5"/>
    </w:p>
    <w:p w14:paraId="444D393C" w14:textId="494C137F" w:rsidR="00FE46C6" w:rsidRDefault="00000000">
      <w:pPr>
        <w:pStyle w:val="Akapitzlist"/>
        <w:widowControl w:val="0"/>
        <w:spacing w:before="60" w:line="360" w:lineRule="auto"/>
        <w:ind w:left="425"/>
        <w:rPr>
          <w:rFonts w:ascii="Arial" w:hAnsi="Arial" w:cs="Arial"/>
          <w:spacing w:val="-4"/>
        </w:rPr>
      </w:pPr>
      <w:r>
        <w:rPr>
          <w:rFonts w:ascii="Arial" w:hAnsi="Arial" w:cs="Arial"/>
          <w:spacing w:val="-4"/>
        </w:rPr>
        <w:t>Pojazdy mechaniczne podlegające, stosownie do przepisów ustawy z dnia 20 czerwca 1997 r. Prawo o ruchu drogowym (Dz.U. z 2018 r., poz. 1990 ze zm.), rejestracji w RP, a także pojazdy mechaniczne niepodlegające takiemu obowiązkowi</w:t>
      </w:r>
      <w:r w:rsidR="00F72AE7">
        <w:rPr>
          <w:rFonts w:ascii="Arial" w:hAnsi="Arial" w:cs="Arial"/>
          <w:spacing w:val="-4"/>
        </w:rPr>
        <w:t>.</w:t>
      </w:r>
    </w:p>
    <w:p w14:paraId="086F1D03" w14:textId="77777777" w:rsidR="00FE46C6" w:rsidRDefault="00000000">
      <w:pPr>
        <w:pStyle w:val="Akapitzlist"/>
        <w:widowControl w:val="0"/>
        <w:numPr>
          <w:ilvl w:val="0"/>
          <w:numId w:val="7"/>
        </w:numPr>
        <w:spacing w:before="120" w:line="360" w:lineRule="auto"/>
        <w:ind w:left="425" w:hanging="425"/>
        <w:rPr>
          <w:rFonts w:ascii="Arial" w:hAnsi="Arial" w:cs="Arial"/>
          <w:b/>
          <w:spacing w:val="-4"/>
        </w:rPr>
      </w:pPr>
      <w:bookmarkStart w:id="6" w:name="_Toc61868283"/>
      <w:r>
        <w:rPr>
          <w:rFonts w:ascii="Arial" w:hAnsi="Arial" w:cs="Arial"/>
          <w:b/>
          <w:spacing w:val="-4"/>
        </w:rPr>
        <w:t>Zakres ubezpieczenia.</w:t>
      </w:r>
      <w:bookmarkEnd w:id="6"/>
    </w:p>
    <w:p w14:paraId="29B8BB1B" w14:textId="77777777" w:rsidR="00FE46C6" w:rsidRDefault="00000000">
      <w:pPr>
        <w:pStyle w:val="Akapitzlist"/>
        <w:widowControl w:val="0"/>
        <w:numPr>
          <w:ilvl w:val="1"/>
          <w:numId w:val="7"/>
        </w:numPr>
        <w:spacing w:before="60" w:line="360" w:lineRule="auto"/>
        <w:ind w:left="850" w:hanging="425"/>
      </w:pPr>
      <w:r>
        <w:rPr>
          <w:rFonts w:ascii="Arial" w:hAnsi="Arial" w:cs="Arial"/>
          <w:b/>
          <w:spacing w:val="-4"/>
        </w:rPr>
        <w:t xml:space="preserve">Obowiązkowe ubezpieczenie OC posiadaczy pojazdów mechanicznych </w:t>
      </w:r>
      <w:r>
        <w:rPr>
          <w:rFonts w:ascii="Arial" w:hAnsi="Arial" w:cs="Arial"/>
          <w:bCs/>
          <w:spacing w:val="-4"/>
        </w:rPr>
        <w:t>– zgodnie z ustawą z dnia 22 maja 2003 r. o ubezpieczeniach obowiązkowych, Ubezpieczeniowym Funduszu Gwarancyjnym i Polskim Biurze Ubezpieczycieli Komunikacyjnych.</w:t>
      </w:r>
    </w:p>
    <w:p w14:paraId="2EEECB6F" w14:textId="77777777" w:rsidR="00FE46C6" w:rsidRDefault="00000000">
      <w:pPr>
        <w:pStyle w:val="Akapitzlist"/>
        <w:widowControl w:val="0"/>
        <w:numPr>
          <w:ilvl w:val="2"/>
          <w:numId w:val="7"/>
        </w:numPr>
        <w:tabs>
          <w:tab w:val="left" w:pos="1843"/>
        </w:tabs>
        <w:spacing w:before="60" w:line="360" w:lineRule="auto"/>
        <w:ind w:left="1418" w:hanging="709"/>
        <w:rPr>
          <w:rFonts w:ascii="Arial" w:hAnsi="Arial" w:cs="Arial"/>
          <w:spacing w:val="-4"/>
        </w:rPr>
      </w:pPr>
      <w:r>
        <w:rPr>
          <w:rFonts w:ascii="Arial" w:hAnsi="Arial" w:cs="Arial"/>
          <w:spacing w:val="-4"/>
        </w:rPr>
        <w:t>Obszar odpowiedzialności: terytorium RP oraz na zasadzie wzajemności – zdarzenia powstałe na terytoriach państw, których Biura Narodowe są sygnatariuszami Jednolitego Porozumienia między Biurami Narodowymi (Regulaminu Wewnętrznego).</w:t>
      </w:r>
    </w:p>
    <w:p w14:paraId="19FF25E3" w14:textId="77777777" w:rsidR="00FE46C6" w:rsidRDefault="00000000">
      <w:pPr>
        <w:pStyle w:val="Akapitzlist"/>
        <w:widowControl w:val="0"/>
        <w:numPr>
          <w:ilvl w:val="2"/>
          <w:numId w:val="7"/>
        </w:numPr>
        <w:tabs>
          <w:tab w:val="left" w:pos="1843"/>
        </w:tabs>
        <w:spacing w:before="60" w:line="360" w:lineRule="auto"/>
        <w:ind w:left="1418" w:hanging="709"/>
        <w:rPr>
          <w:rFonts w:ascii="Arial" w:hAnsi="Arial" w:cs="Arial"/>
          <w:spacing w:val="-4"/>
        </w:rPr>
      </w:pPr>
      <w:r>
        <w:rPr>
          <w:rFonts w:ascii="Arial" w:hAnsi="Arial" w:cs="Arial"/>
          <w:spacing w:val="-4"/>
        </w:rPr>
        <w:t>Suma gwarancyjna: minimalna ustawowa (zgodna z ustawą).</w:t>
      </w:r>
    </w:p>
    <w:p w14:paraId="6C5D30A8" w14:textId="5CC22416" w:rsidR="00FE46C6" w:rsidRDefault="00000000">
      <w:pPr>
        <w:pStyle w:val="Akapitzlist"/>
        <w:widowControl w:val="0"/>
        <w:numPr>
          <w:ilvl w:val="2"/>
          <w:numId w:val="7"/>
        </w:numPr>
        <w:tabs>
          <w:tab w:val="left" w:pos="1843"/>
        </w:tabs>
        <w:spacing w:before="60" w:line="360" w:lineRule="auto"/>
        <w:ind w:left="1418" w:hanging="709"/>
      </w:pPr>
      <w:r>
        <w:rPr>
          <w:rFonts w:ascii="Arial" w:hAnsi="Arial" w:cs="Arial"/>
          <w:b/>
          <w:spacing w:val="-4"/>
        </w:rPr>
        <w:t>Dotyczy</w:t>
      </w:r>
      <w:r>
        <w:rPr>
          <w:rFonts w:ascii="Arial" w:hAnsi="Arial" w:cs="Arial"/>
          <w:spacing w:val="-4"/>
        </w:rPr>
        <w:t xml:space="preserve">: wszystkie pojazdy </w:t>
      </w:r>
      <w:r>
        <w:rPr>
          <w:rFonts w:ascii="Arial" w:hAnsi="Arial" w:cs="Arial"/>
        </w:rPr>
        <w:t xml:space="preserve">do </w:t>
      </w:r>
      <w:r w:rsidR="008B7170">
        <w:rPr>
          <w:rFonts w:ascii="Arial" w:hAnsi="Arial" w:cs="Arial"/>
        </w:rPr>
        <w:t>niniejszego postępowania</w:t>
      </w:r>
      <w:r>
        <w:rPr>
          <w:rFonts w:ascii="Arial" w:hAnsi="Arial" w:cs="Arial"/>
          <w:spacing w:val="-4"/>
        </w:rPr>
        <w:t xml:space="preserve"> i nabywane w okresie wykonywania zamówienia, według potrzeb ubezpieczającego.</w:t>
      </w:r>
    </w:p>
    <w:p w14:paraId="4E2089E7" w14:textId="77777777" w:rsidR="00FE46C6" w:rsidRDefault="00000000">
      <w:pPr>
        <w:pStyle w:val="Akapitzlist"/>
        <w:widowControl w:val="0"/>
        <w:numPr>
          <w:ilvl w:val="2"/>
          <w:numId w:val="7"/>
        </w:numPr>
        <w:tabs>
          <w:tab w:val="left" w:pos="1843"/>
        </w:tabs>
        <w:spacing w:before="60" w:line="360" w:lineRule="auto"/>
        <w:ind w:left="1418" w:hanging="709"/>
      </w:pPr>
      <w:r>
        <w:rPr>
          <w:rFonts w:ascii="Arial" w:hAnsi="Arial" w:cs="Arial"/>
          <w:bCs/>
        </w:rPr>
        <w:t>W</w:t>
      </w:r>
      <w:r>
        <w:rPr>
          <w:rFonts w:ascii="Arial" w:hAnsi="Arial" w:cs="Arial"/>
        </w:rPr>
        <w:t> trakcie realizacji zamówienia ubezpieczający może występować do ubezpieczyciela o zawarcie umowy ubezpieczenie OC posiadaczy pojazdów mechanicznych za szkody powstałe w związku z ruchem pojazdów na terenie państw należących do Systemu Zielonej Karty, a niebędących członkami Unii Europejskiej (tzw. ubezpieczenie Zielona Karta ).</w:t>
      </w:r>
    </w:p>
    <w:p w14:paraId="515739E9" w14:textId="77777777" w:rsidR="00FE46C6" w:rsidRDefault="00000000">
      <w:pPr>
        <w:pStyle w:val="Akapitzlist"/>
        <w:widowControl w:val="0"/>
        <w:numPr>
          <w:ilvl w:val="1"/>
          <w:numId w:val="7"/>
        </w:numPr>
        <w:spacing w:before="120" w:line="360" w:lineRule="auto"/>
        <w:ind w:left="850" w:hanging="425"/>
        <w:rPr>
          <w:rFonts w:ascii="Arial" w:hAnsi="Arial" w:cs="Arial"/>
          <w:b/>
          <w:spacing w:val="-4"/>
        </w:rPr>
      </w:pPr>
      <w:r>
        <w:rPr>
          <w:rFonts w:ascii="Arial" w:hAnsi="Arial" w:cs="Arial"/>
          <w:b/>
          <w:spacing w:val="-4"/>
        </w:rPr>
        <w:t>Ubezpieczenie NNW pasażerów i kierowców pojazdów mechanicznych.</w:t>
      </w:r>
    </w:p>
    <w:p w14:paraId="5C34AE2D" w14:textId="77777777" w:rsidR="005C6BE1" w:rsidRDefault="00000000">
      <w:pPr>
        <w:pStyle w:val="Akapitzlist"/>
        <w:widowControl w:val="0"/>
        <w:numPr>
          <w:ilvl w:val="2"/>
          <w:numId w:val="7"/>
        </w:numPr>
        <w:spacing w:before="60" w:line="360" w:lineRule="auto"/>
        <w:ind w:left="1418" w:hanging="567"/>
        <w:rPr>
          <w:rFonts w:ascii="Arial" w:hAnsi="Arial" w:cs="Arial"/>
          <w:spacing w:val="-6"/>
        </w:rPr>
      </w:pPr>
      <w:r>
        <w:rPr>
          <w:rFonts w:ascii="Arial" w:hAnsi="Arial" w:cs="Arial"/>
          <w:spacing w:val="-6"/>
        </w:rPr>
        <w:t>Przedmiot ubezpieczenia: trwałe następstwa nieszczęśliwych wypadków kierowcy i pasaże</w:t>
      </w:r>
      <w:r>
        <w:rPr>
          <w:rFonts w:ascii="Arial" w:hAnsi="Arial" w:cs="Arial"/>
          <w:spacing w:val="-6"/>
        </w:rPr>
        <w:softHyphen/>
        <w:t xml:space="preserve">rów pojazdów mechanicznych, polegające na </w:t>
      </w:r>
    </w:p>
    <w:p w14:paraId="587AEE07" w14:textId="77777777" w:rsidR="005C6BE1" w:rsidRDefault="005C6BE1" w:rsidP="005C6BE1">
      <w:pPr>
        <w:pStyle w:val="Akapitzlist"/>
        <w:widowControl w:val="0"/>
        <w:spacing w:before="60" w:line="360" w:lineRule="auto"/>
        <w:ind w:left="1418"/>
        <w:rPr>
          <w:rFonts w:ascii="Arial" w:hAnsi="Arial" w:cs="Arial"/>
          <w:spacing w:val="-6"/>
        </w:rPr>
      </w:pPr>
    </w:p>
    <w:p w14:paraId="1A557511" w14:textId="0A722826" w:rsidR="00FE46C6" w:rsidRDefault="00000000" w:rsidP="005C6BE1">
      <w:pPr>
        <w:pStyle w:val="Akapitzlist"/>
        <w:widowControl w:val="0"/>
        <w:spacing w:before="60" w:line="360" w:lineRule="auto"/>
        <w:ind w:left="1418"/>
        <w:rPr>
          <w:rFonts w:ascii="Arial" w:hAnsi="Arial" w:cs="Arial"/>
          <w:spacing w:val="-6"/>
        </w:rPr>
      </w:pPr>
      <w:r>
        <w:rPr>
          <w:rFonts w:ascii="Arial" w:hAnsi="Arial" w:cs="Arial"/>
          <w:spacing w:val="-6"/>
        </w:rPr>
        <w:lastRenderedPageBreak/>
        <w:t>uszkodzeniu ciała lub rozstroju zdrowia albo śmierci i powstałe w związku ruchem lub postojem pojazdów mechanicznych, w szczególności podczas wsiadania i wysiadania, w czasie przebywania w pojeździe będącym w ruchu i w przypadku zatrzymania i postoju, podczas dokonywania w czasie podróży koniecznej naprawy, a także podczas załadunku i wyładunku pojazdu.</w:t>
      </w:r>
    </w:p>
    <w:p w14:paraId="5B78C359" w14:textId="77777777" w:rsidR="00FE46C6" w:rsidRDefault="00000000">
      <w:pPr>
        <w:pStyle w:val="Akapitzlist"/>
        <w:widowControl w:val="0"/>
        <w:numPr>
          <w:ilvl w:val="2"/>
          <w:numId w:val="7"/>
        </w:numPr>
        <w:spacing w:before="60" w:line="360" w:lineRule="auto"/>
        <w:ind w:left="1985" w:hanging="709"/>
        <w:rPr>
          <w:rFonts w:ascii="Arial" w:hAnsi="Arial" w:cs="Arial"/>
          <w:spacing w:val="-4"/>
        </w:rPr>
      </w:pPr>
      <w:r>
        <w:rPr>
          <w:rFonts w:ascii="Arial" w:hAnsi="Arial" w:cs="Arial"/>
          <w:spacing w:val="-4"/>
        </w:rPr>
        <w:t>Suma ubezpieczenia: 10 000,00 zł/1 os.</w:t>
      </w:r>
    </w:p>
    <w:p w14:paraId="42EB13AF" w14:textId="77777777" w:rsidR="00FE46C6" w:rsidRDefault="00000000">
      <w:pPr>
        <w:pStyle w:val="Akapitzlist"/>
        <w:widowControl w:val="0"/>
        <w:numPr>
          <w:ilvl w:val="2"/>
          <w:numId w:val="7"/>
        </w:numPr>
        <w:spacing w:before="60" w:line="360" w:lineRule="auto"/>
        <w:ind w:left="1985" w:hanging="709"/>
        <w:rPr>
          <w:rFonts w:ascii="Arial" w:hAnsi="Arial" w:cs="Arial"/>
          <w:spacing w:val="-4"/>
        </w:rPr>
      </w:pPr>
      <w:r>
        <w:rPr>
          <w:rFonts w:ascii="Arial" w:hAnsi="Arial" w:cs="Arial"/>
          <w:spacing w:val="-4"/>
        </w:rPr>
        <w:t>Obszar odpowiedzialności: RP i kraje europejskie.</w:t>
      </w:r>
    </w:p>
    <w:p w14:paraId="4F5EFF0F" w14:textId="77777777" w:rsidR="00FE46C6" w:rsidRDefault="00000000">
      <w:pPr>
        <w:pStyle w:val="Akapitzlist"/>
        <w:widowControl w:val="0"/>
        <w:numPr>
          <w:ilvl w:val="1"/>
          <w:numId w:val="7"/>
        </w:numPr>
        <w:spacing w:before="120" w:line="360" w:lineRule="auto"/>
        <w:ind w:left="850" w:hanging="425"/>
        <w:rPr>
          <w:rFonts w:ascii="Arial" w:hAnsi="Arial" w:cs="Arial"/>
          <w:b/>
          <w:spacing w:val="-4"/>
        </w:rPr>
      </w:pPr>
      <w:r>
        <w:rPr>
          <w:rFonts w:ascii="Arial" w:hAnsi="Arial" w:cs="Arial"/>
          <w:b/>
          <w:spacing w:val="-4"/>
        </w:rPr>
        <w:t>Ubezpieczenie pojazdów od uszkodzenia i utraty auto casco.</w:t>
      </w:r>
    </w:p>
    <w:p w14:paraId="0A6BBE2A" w14:textId="77777777" w:rsidR="00FE46C6" w:rsidRDefault="00000000">
      <w:pPr>
        <w:pStyle w:val="Akapitzlist"/>
        <w:widowControl w:val="0"/>
        <w:numPr>
          <w:ilvl w:val="2"/>
          <w:numId w:val="7"/>
        </w:numPr>
        <w:spacing w:before="60" w:line="360" w:lineRule="auto"/>
        <w:ind w:left="1560" w:hanging="709"/>
        <w:rPr>
          <w:rFonts w:ascii="Arial" w:hAnsi="Arial" w:cs="Arial"/>
          <w:spacing w:val="-4"/>
        </w:rPr>
      </w:pPr>
      <w:r>
        <w:rPr>
          <w:rFonts w:ascii="Arial" w:hAnsi="Arial" w:cs="Arial"/>
          <w:spacing w:val="-4"/>
        </w:rPr>
        <w:t xml:space="preserve">Zakres ubezpieczenia: pełny, w systemie wszystkich </w:t>
      </w:r>
      <w:proofErr w:type="spellStart"/>
      <w:r>
        <w:rPr>
          <w:rFonts w:ascii="Arial" w:hAnsi="Arial" w:cs="Arial"/>
          <w:spacing w:val="-4"/>
        </w:rPr>
        <w:t>ryzyk</w:t>
      </w:r>
      <w:proofErr w:type="spellEnd"/>
      <w:r>
        <w:rPr>
          <w:rFonts w:ascii="Arial" w:hAnsi="Arial" w:cs="Arial"/>
          <w:spacing w:val="-4"/>
        </w:rPr>
        <w:t>, obejmujący uszkodzenie, utratę bądź całkowite lub częściowe zniszczenie ubezpieczonego pojazdu i wyposażenia oraz utratę elementów pojazdu lub wyposażenia (w tym kasowników, radiotelefonów, tablic kierunkowych, sterowników tablic, biletomatów, systemów monitorowania pojazdów, sterowników kasowników, ekranów LCD oraz innego wyposażenia) oraz utratę elementów pojazdu lub wyposażenia wskutek zdarzeń niezależnych od woli ubezpieczającego/ubezpieczonego lub osoby upoważnionej do korzystania z pojazdu, w szczególności obejmujący szkody powstałe w pojeździe lub jego wyposażeniu polegające m.in. na:</w:t>
      </w:r>
    </w:p>
    <w:p w14:paraId="626B1152" w14:textId="77777777" w:rsidR="00FE46C6" w:rsidRDefault="00000000">
      <w:pPr>
        <w:pStyle w:val="Akapitzlist"/>
        <w:widowControl w:val="0"/>
        <w:numPr>
          <w:ilvl w:val="0"/>
          <w:numId w:val="12"/>
        </w:numPr>
        <w:spacing w:line="360" w:lineRule="auto"/>
        <w:ind w:left="1985" w:hanging="425"/>
        <w:contextualSpacing/>
        <w:rPr>
          <w:rFonts w:ascii="Arial" w:hAnsi="Arial" w:cs="Arial"/>
          <w:spacing w:val="-4"/>
        </w:rPr>
      </w:pPr>
      <w:bookmarkStart w:id="7" w:name="_Hlk47963814"/>
      <w:r>
        <w:rPr>
          <w:rFonts w:ascii="Arial" w:hAnsi="Arial" w:cs="Arial"/>
          <w:spacing w:val="-4"/>
        </w:rPr>
        <w:t>uszkodzeniu lub zniszczeniu pojazdu lub jego wyposażenia w związku z ruchem lub postojem, wskutek wypadku, zderzenia pojazdów lub zderzenia z osobami, zwierzętami lub przedmiotami pochodzącymi z zewnątrz lub wewnątrz ubezpieczonego pojazdu;</w:t>
      </w:r>
    </w:p>
    <w:p w14:paraId="40845C3E"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lub zniszczeniu pojazdu lub jego wyposażenia wskutek zdarzeń losowych, w szczególności w wyniku pożaru, osmalenia, wybuchu, powodzi, zatopienia, uderzenia piorunu, huraganu, opadu atmosferycznego lub działania innych sił przyrody, zapadania i usuwania się ziemi, nagłego działania czynnika termicznego lub chemicznego pochodzącego z zewnątrz pojazdu, a także pożaru lub wybuchu, którego źródło powstało wewnątrz pojazdu;</w:t>
      </w:r>
    </w:p>
    <w:p w14:paraId="30D38E1E"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 xml:space="preserve">uszkodzeniu lub zniszczeniu pojazdu lub jego wyposażenia w wyniku wypadnięcia z trasy, dachowania, wpadnięcia w poślizg, nawet jeśli </w:t>
      </w:r>
      <w:r>
        <w:rPr>
          <w:rFonts w:ascii="Arial" w:hAnsi="Arial" w:cs="Arial"/>
          <w:spacing w:val="-4"/>
        </w:rPr>
        <w:lastRenderedPageBreak/>
        <w:t>nie zaistniała przyczyna zewnętrzna tych zdarzeń;</w:t>
      </w:r>
    </w:p>
    <w:p w14:paraId="3EFFD556"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lub zniszczeniu pojazdu lub jego wyposażenia wskutek przedostania się do niego cieczy z powodu intensywnego deszczu lub w wyniku wydostania z przewo</w:t>
      </w:r>
      <w:r>
        <w:rPr>
          <w:rFonts w:ascii="Arial" w:hAnsi="Arial" w:cs="Arial"/>
          <w:spacing w:val="-4"/>
        </w:rPr>
        <w:softHyphen/>
        <w:t>dów i urządzeń kanalizacyjnych, wodociągowych lub grzewczych, z włączeniem szkód powstałych wskutek zassania cieczy przez silnik;</w:t>
      </w:r>
    </w:p>
    <w:p w14:paraId="77A8262C"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lub zniszczeniu pojazdu lub jego wyposażenia wskutek dostania się wody do wnętrza pojazdu;</w:t>
      </w:r>
    </w:p>
    <w:p w14:paraId="08CD4F56"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powstałym w ubezpieczonym pojeździe, zwłaszcza w układzie zawieszenia lub układzie jezdnym pojazdu, wskutek wjechania przez pojazd w nierówności na drodze;</w:t>
      </w:r>
    </w:p>
    <w:p w14:paraId="4769588E"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lub zniszczeniu pojazdu lub jego wyposażenia powstałym w wyniku samoistnego otwarcia w trakcie jazdy pokrywy silnika (maski) lub bagażnika:</w:t>
      </w:r>
    </w:p>
    <w:p w14:paraId="2F770FE9"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lub zniszczeniu pojazdu lub jego wyposażenia powstałym w wyniku samoczynnego stoczenia się pojazdu na terenie pochyłym;</w:t>
      </w:r>
    </w:p>
    <w:p w14:paraId="05AA2CB3"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lub zbiciu szyb pojazdu;</w:t>
      </w:r>
    </w:p>
    <w:p w14:paraId="6C817457"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wnętrza pojazdu przez osoby, których przewóz wymagany był potrzebą udzielenia pomocy medycznej;</w:t>
      </w:r>
    </w:p>
    <w:p w14:paraId="3D5918FA"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lub zniszczeniu pojazdu lub jego wyposażenia w związku z ruchem lub postojem wskutek działania osób trzecich, w tym również włamania, dewastacji i wandalizmu;</w:t>
      </w:r>
    </w:p>
    <w:p w14:paraId="1E2013E7"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lub zniszczeniu pojazdu lub jego wyposażenia przez osoby trzecie w następstwie jego zabrania w celu krótkotrwałego użycia (określonego w art. 289 k.k.);</w:t>
      </w:r>
    </w:p>
    <w:bookmarkEnd w:id="7"/>
    <w:p w14:paraId="4FA839AB"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kradzieży pojazdu lub jego części, przez którą rozumie się:</w:t>
      </w:r>
    </w:p>
    <w:p w14:paraId="03B92A2B" w14:textId="77777777" w:rsidR="00FE46C6" w:rsidRDefault="00000000">
      <w:pPr>
        <w:pStyle w:val="Akapitzlist"/>
        <w:widowControl w:val="0"/>
        <w:numPr>
          <w:ilvl w:val="0"/>
          <w:numId w:val="14"/>
        </w:numPr>
        <w:tabs>
          <w:tab w:val="left" w:pos="2268"/>
        </w:tabs>
        <w:spacing w:line="360" w:lineRule="auto"/>
        <w:ind w:left="2268" w:hanging="283"/>
        <w:contextualSpacing/>
        <w:rPr>
          <w:rFonts w:ascii="Arial" w:hAnsi="Arial" w:cs="Arial"/>
          <w:spacing w:val="-4"/>
        </w:rPr>
      </w:pPr>
      <w:r>
        <w:rPr>
          <w:rFonts w:ascii="Arial" w:hAnsi="Arial" w:cs="Arial"/>
          <w:spacing w:val="-4"/>
        </w:rPr>
        <w:t>kradzież z włamaniem (określoną w art. 279 k.k.);</w:t>
      </w:r>
    </w:p>
    <w:p w14:paraId="71936D50" w14:textId="77777777" w:rsidR="00FE46C6" w:rsidRDefault="00000000">
      <w:pPr>
        <w:pStyle w:val="Akapitzlist"/>
        <w:widowControl w:val="0"/>
        <w:numPr>
          <w:ilvl w:val="0"/>
          <w:numId w:val="13"/>
        </w:numPr>
        <w:tabs>
          <w:tab w:val="left" w:pos="2268"/>
        </w:tabs>
        <w:spacing w:line="360" w:lineRule="auto"/>
        <w:ind w:left="2268" w:hanging="283"/>
        <w:contextualSpacing/>
        <w:rPr>
          <w:rFonts w:ascii="Arial" w:hAnsi="Arial" w:cs="Arial"/>
          <w:spacing w:val="-4"/>
        </w:rPr>
      </w:pPr>
      <w:r>
        <w:rPr>
          <w:rFonts w:ascii="Arial" w:hAnsi="Arial" w:cs="Arial"/>
          <w:spacing w:val="-4"/>
        </w:rPr>
        <w:t>kradzież pojazdu (określoną w art. 278 k.k.), jego części lub wyposażenia;</w:t>
      </w:r>
    </w:p>
    <w:p w14:paraId="3FD59105" w14:textId="77777777" w:rsidR="00FE46C6" w:rsidRDefault="00000000">
      <w:pPr>
        <w:pStyle w:val="Akapitzlist"/>
        <w:widowControl w:val="0"/>
        <w:numPr>
          <w:ilvl w:val="0"/>
          <w:numId w:val="13"/>
        </w:numPr>
        <w:tabs>
          <w:tab w:val="left" w:pos="2268"/>
        </w:tabs>
        <w:spacing w:line="360" w:lineRule="auto"/>
        <w:ind w:left="2268" w:hanging="283"/>
        <w:contextualSpacing/>
        <w:rPr>
          <w:rFonts w:ascii="Arial" w:hAnsi="Arial" w:cs="Arial"/>
          <w:spacing w:val="-4"/>
        </w:rPr>
      </w:pPr>
      <w:r>
        <w:rPr>
          <w:rFonts w:ascii="Arial" w:hAnsi="Arial" w:cs="Arial"/>
          <w:spacing w:val="-4"/>
        </w:rPr>
        <w:t>kradzież z użyciem przemocy (określoną w art. 280 k.k., tzw. rozbój).</w:t>
      </w:r>
    </w:p>
    <w:p w14:paraId="7F294980" w14:textId="77777777" w:rsidR="00FE46C6" w:rsidRDefault="00000000">
      <w:pPr>
        <w:widowControl w:val="0"/>
        <w:spacing w:before="120" w:after="60" w:line="360" w:lineRule="auto"/>
        <w:ind w:left="1985"/>
        <w:rPr>
          <w:rFonts w:ascii="Arial" w:hAnsi="Arial" w:cs="Arial"/>
          <w:bCs/>
          <w:spacing w:val="-4"/>
        </w:rPr>
      </w:pPr>
      <w:r>
        <w:rPr>
          <w:rFonts w:ascii="Arial" w:hAnsi="Arial" w:cs="Arial"/>
          <w:bCs/>
          <w:spacing w:val="-4"/>
        </w:rPr>
        <w:t>Ubezpieczenie auto casco nie dotyczy:</w:t>
      </w:r>
    </w:p>
    <w:p w14:paraId="6DF5A7C9" w14:textId="77777777" w:rsidR="00FE46C6" w:rsidRDefault="00000000">
      <w:pPr>
        <w:widowControl w:val="0"/>
        <w:numPr>
          <w:ilvl w:val="0"/>
          <w:numId w:val="16"/>
        </w:numPr>
        <w:tabs>
          <w:tab w:val="left" w:pos="-6852"/>
        </w:tabs>
        <w:spacing w:before="60" w:after="60" w:line="360" w:lineRule="auto"/>
        <w:ind w:hanging="295"/>
        <w:rPr>
          <w:rFonts w:ascii="Arial" w:hAnsi="Arial" w:cs="Arial"/>
          <w:spacing w:val="-4"/>
        </w:rPr>
      </w:pPr>
      <w:r>
        <w:rPr>
          <w:rFonts w:ascii="Arial" w:hAnsi="Arial" w:cs="Arial"/>
          <w:spacing w:val="-4"/>
        </w:rPr>
        <w:lastRenderedPageBreak/>
        <w:t xml:space="preserve">szkód eksploatacyjnych, tzn. ubezpieczyciel nie ponosi odpowiedzialności za szkody polegające na zużyciu, korozji, utlenieniu lub zawilgoceniu pojazdu, jego części lub wyposażenia, jeśli nie doszło do wypadku ubezpieczeniowego objętego umową ubezpieczenia i uszkodzenia lub utraty pojazdu, jego części </w:t>
      </w:r>
      <w:r>
        <w:rPr>
          <w:rFonts w:ascii="Arial" w:hAnsi="Arial" w:cs="Arial"/>
          <w:spacing w:val="-4"/>
        </w:rPr>
        <w:br/>
        <w:t>lub wyposażenia w wyniku takiego zdarzenia,</w:t>
      </w:r>
    </w:p>
    <w:p w14:paraId="0432C6A1" w14:textId="77777777" w:rsidR="00FE46C6" w:rsidRDefault="00000000">
      <w:pPr>
        <w:widowControl w:val="0"/>
        <w:numPr>
          <w:ilvl w:val="0"/>
          <w:numId w:val="15"/>
        </w:numPr>
        <w:tabs>
          <w:tab w:val="left" w:pos="-6852"/>
        </w:tabs>
        <w:spacing w:before="60" w:after="60" w:line="360" w:lineRule="auto"/>
        <w:ind w:hanging="295"/>
        <w:rPr>
          <w:rFonts w:ascii="Arial" w:hAnsi="Arial" w:cs="Arial"/>
          <w:spacing w:val="-4"/>
        </w:rPr>
      </w:pPr>
      <w:r>
        <w:rPr>
          <w:rFonts w:ascii="Arial" w:hAnsi="Arial" w:cs="Arial"/>
          <w:spacing w:val="-4"/>
        </w:rPr>
        <w:t>szkód powstałych wskutek skażenia lub zanieczyszczenia środowiska lub ubezpieczonego pojazdu odpadami w rozumieniu ustawy z dnia 14 grudnia 2012 r. o odpadach albo zanieczyszczeniami w rozumieniu ustawy z dnia 27 kwietnia 2001 r. - Prawo ochrony środowiska, emitowanymi do otoczenia.</w:t>
      </w:r>
    </w:p>
    <w:p w14:paraId="2AFAC4AA" w14:textId="77777777" w:rsidR="00FE46C6" w:rsidRDefault="00000000">
      <w:pPr>
        <w:pStyle w:val="Akapitzlist"/>
        <w:widowControl w:val="0"/>
        <w:numPr>
          <w:ilvl w:val="2"/>
          <w:numId w:val="7"/>
        </w:numPr>
        <w:spacing w:before="60" w:line="360" w:lineRule="auto"/>
        <w:ind w:left="1560" w:hanging="709"/>
      </w:pPr>
      <w:bookmarkStart w:id="8" w:name="_Hlk41568452"/>
      <w:r>
        <w:rPr>
          <w:rFonts w:ascii="Arial" w:hAnsi="Arial" w:cs="Arial"/>
          <w:spacing w:val="-4"/>
        </w:rPr>
        <w:t xml:space="preserve">Rozszerzenie zakresu ubezpieczenia o szkody powstałe podczas kierowania pojazdem nieposiadającym ważnego badania technicznego, o ile stan techniczny pojazdu nie miał wpływu na powstanie szkody. Rozszerzenie dotyczy wyłącznie sytuacji, kiedy szkoda </w:t>
      </w:r>
      <w:r>
        <w:rPr>
          <w:rFonts w:ascii="Arial" w:hAnsi="Arial" w:cs="Arial"/>
          <w:spacing w:val="-6"/>
        </w:rPr>
        <w:t>wystąpiła nie później niż 30 dni od daty wygaśnięcia okresu ważności badania technicznego.</w:t>
      </w:r>
    </w:p>
    <w:bookmarkEnd w:id="8"/>
    <w:p w14:paraId="71576DBE" w14:textId="77777777" w:rsidR="00FE46C6" w:rsidRDefault="00000000">
      <w:pPr>
        <w:pStyle w:val="Akapitzlist"/>
        <w:widowControl w:val="0"/>
        <w:numPr>
          <w:ilvl w:val="2"/>
          <w:numId w:val="7"/>
        </w:numPr>
        <w:spacing w:before="60" w:line="360" w:lineRule="auto"/>
        <w:ind w:left="1560" w:hanging="709"/>
      </w:pPr>
      <w:r>
        <w:rPr>
          <w:rFonts w:ascii="Arial" w:hAnsi="Arial" w:cs="Arial"/>
          <w:spacing w:val="-4"/>
        </w:rPr>
        <w:t>Rozszerzenie zakresu ubezpieczenia o koszty wymiany urządzeń przy utracie lub zniszcze</w:t>
      </w:r>
      <w:r>
        <w:rPr>
          <w:rFonts w:ascii="Arial" w:hAnsi="Arial" w:cs="Arial"/>
          <w:spacing w:val="-4"/>
        </w:rPr>
        <w:softHyphen/>
        <w:t>niu kluczyków lub innego urządzenia przewidzianego przez producenta pojazdu, umożli</w:t>
      </w:r>
      <w:r>
        <w:rPr>
          <w:rFonts w:ascii="Arial" w:hAnsi="Arial" w:cs="Arial"/>
          <w:spacing w:val="-4"/>
        </w:rPr>
        <w:softHyphen/>
        <w:t>wia</w:t>
      </w:r>
      <w:r>
        <w:rPr>
          <w:rFonts w:ascii="Arial" w:hAnsi="Arial" w:cs="Arial"/>
          <w:spacing w:val="-4"/>
        </w:rPr>
        <w:softHyphen/>
        <w:t>ją</w:t>
      </w:r>
      <w:r>
        <w:rPr>
          <w:rFonts w:ascii="Arial" w:hAnsi="Arial" w:cs="Arial"/>
          <w:spacing w:val="-4"/>
        </w:rPr>
        <w:softHyphen/>
        <w:t xml:space="preserve">cego uruchomienie silnika lub odblokowanie zabezpieczeń </w:t>
      </w:r>
      <w:proofErr w:type="spellStart"/>
      <w:r>
        <w:rPr>
          <w:rFonts w:ascii="Arial" w:hAnsi="Arial" w:cs="Arial"/>
          <w:spacing w:val="-4"/>
        </w:rPr>
        <w:t>przeciwkradzieżo</w:t>
      </w:r>
      <w:r>
        <w:rPr>
          <w:rFonts w:ascii="Arial" w:hAnsi="Arial" w:cs="Arial"/>
          <w:spacing w:val="-4"/>
        </w:rPr>
        <w:softHyphen/>
        <w:t>wych</w:t>
      </w:r>
      <w:proofErr w:type="spellEnd"/>
      <w:r>
        <w:rPr>
          <w:rFonts w:ascii="Arial" w:hAnsi="Arial" w:cs="Arial"/>
          <w:spacing w:val="-4"/>
        </w:rPr>
        <w:t>.</w:t>
      </w:r>
      <w:r>
        <w:rPr>
          <w:rFonts w:ascii="Arial" w:hAnsi="Arial" w:cs="Arial"/>
          <w:lang w:eastAsia="pl-PL"/>
        </w:rPr>
        <w:t xml:space="preserve"> </w:t>
      </w:r>
      <w:r>
        <w:rPr>
          <w:rFonts w:ascii="Arial" w:hAnsi="Arial" w:cs="Arial"/>
          <w:spacing w:val="-4"/>
        </w:rPr>
        <w:t>Ubezpieczyciel zwróci również poniesione i udokumentowane koszty wymiany zamków, wkładek zamków, wyłącznika zapłonu, odpowiednich sterowników oraz przekodowania modułów zabezpieczeń antykradzieżowych, w przypadku utraty lub zniszczenia kluczy</w:t>
      </w:r>
      <w:r>
        <w:rPr>
          <w:rFonts w:ascii="Arial" w:hAnsi="Arial" w:cs="Arial"/>
          <w:spacing w:val="-4"/>
        </w:rPr>
        <w:softHyphen/>
        <w:t>ków (fabrycznych urządzeń służących do otwarcia pojazdu). Ubezpieczający jest zobowiązany zgłosić kradzież kluczyków lub innego urządzenia służącego do otwierania pojazdu na Policję.</w:t>
      </w:r>
    </w:p>
    <w:p w14:paraId="421A16DF" w14:textId="77777777" w:rsidR="00FE46C6" w:rsidRDefault="00000000">
      <w:pPr>
        <w:pStyle w:val="Akapitzlist"/>
        <w:widowControl w:val="0"/>
        <w:numPr>
          <w:ilvl w:val="2"/>
          <w:numId w:val="7"/>
        </w:numPr>
        <w:spacing w:before="60" w:line="360" w:lineRule="auto"/>
        <w:ind w:left="1560" w:hanging="709"/>
      </w:pPr>
      <w:r>
        <w:rPr>
          <w:rFonts w:ascii="Arial" w:hAnsi="Arial" w:cs="Arial"/>
          <w:spacing w:val="-4"/>
        </w:rPr>
        <w:t xml:space="preserve">Rozszerzenie zakresu ubezpieczenia o koszty transportu uszkodzonego pojazdu (usunięcie z miejsca wypadku, załadunek i rozładunek z/na pojazd specjalistyczny służący do holowania, holowanie) z miejsca wypadku do siedziby Ubezpieczonego lub do dowolnego wybranego warsztatu lub parkingu, przy czy dopuszczalne jest holowanie </w:t>
      </w:r>
      <w:r>
        <w:rPr>
          <w:rFonts w:ascii="Arial" w:hAnsi="Arial" w:cs="Arial"/>
          <w:spacing w:val="-4"/>
        </w:rPr>
        <w:lastRenderedPageBreak/>
        <w:t xml:space="preserve">dwuetapowe </w:t>
      </w:r>
      <w:r>
        <w:rPr>
          <w:rFonts w:ascii="Arial" w:hAnsi="Arial" w:cs="Arial"/>
          <w:lang w:eastAsia="pl-PL"/>
        </w:rPr>
        <w:t xml:space="preserve">limit odpowiedzialności za usługę holowania wynosi 20 000,00 zł w każdym rocznym okresie ubezpieczenia </w:t>
      </w:r>
    </w:p>
    <w:p w14:paraId="7DEC44CC" w14:textId="77777777" w:rsidR="00FE46C6" w:rsidRDefault="00000000">
      <w:pPr>
        <w:pStyle w:val="Akapitzlist"/>
        <w:widowControl w:val="0"/>
        <w:numPr>
          <w:ilvl w:val="2"/>
          <w:numId w:val="7"/>
        </w:numPr>
        <w:spacing w:before="60" w:line="360" w:lineRule="auto"/>
        <w:ind w:left="1560" w:hanging="709"/>
        <w:rPr>
          <w:rFonts w:ascii="Arial" w:hAnsi="Arial" w:cs="Arial"/>
          <w:spacing w:val="-4"/>
        </w:rPr>
      </w:pPr>
      <w:r>
        <w:rPr>
          <w:rFonts w:ascii="Arial" w:hAnsi="Arial" w:cs="Arial"/>
          <w:spacing w:val="-4"/>
        </w:rPr>
        <w:t>Rozszerzenie zakresu ubezpieczenia o koszty poniesione na parkowanie po szkodzie bądź inne zabezpieczenie pojazdu przed powiększeniem szkody – limit odpowiedzialności wynosi 10% sumy ubezpieczenia.</w:t>
      </w:r>
    </w:p>
    <w:p w14:paraId="6C183381" w14:textId="77777777" w:rsidR="00FE46C6" w:rsidRDefault="00000000">
      <w:pPr>
        <w:pStyle w:val="Akapitzlist"/>
        <w:widowControl w:val="0"/>
        <w:numPr>
          <w:ilvl w:val="2"/>
          <w:numId w:val="7"/>
        </w:numPr>
        <w:spacing w:before="60" w:line="360" w:lineRule="auto"/>
        <w:ind w:left="1560" w:hanging="709"/>
        <w:rPr>
          <w:rFonts w:ascii="Arial" w:hAnsi="Arial" w:cs="Arial"/>
          <w:spacing w:val="-4"/>
        </w:rPr>
      </w:pPr>
      <w:r>
        <w:rPr>
          <w:rFonts w:ascii="Arial" w:hAnsi="Arial" w:cs="Arial"/>
          <w:spacing w:val="-4"/>
        </w:rPr>
        <w:t>Rozszerzenie zakresu ubezpieczenia o odpowiedzialność za uszkodzenia lub całkowite zniszczenie w pojazdach powstałych w przypadku samozapłonu.</w:t>
      </w:r>
    </w:p>
    <w:p w14:paraId="777CBD31" w14:textId="77777777" w:rsidR="00FE46C6" w:rsidRDefault="00000000">
      <w:pPr>
        <w:pStyle w:val="Akapitzlist"/>
        <w:widowControl w:val="0"/>
        <w:numPr>
          <w:ilvl w:val="2"/>
          <w:numId w:val="7"/>
        </w:numPr>
        <w:spacing w:before="60" w:line="360" w:lineRule="auto"/>
        <w:ind w:left="1560" w:hanging="709"/>
        <w:rPr>
          <w:rFonts w:ascii="Arial" w:hAnsi="Arial" w:cs="Arial"/>
          <w:spacing w:val="-4"/>
        </w:rPr>
      </w:pPr>
      <w:r>
        <w:rPr>
          <w:rFonts w:ascii="Arial" w:hAnsi="Arial" w:cs="Arial"/>
          <w:spacing w:val="-4"/>
        </w:rPr>
        <w:t>Zakres terytorialny: RP i kraje europejskie.</w:t>
      </w:r>
    </w:p>
    <w:p w14:paraId="0772FF35" w14:textId="77777777" w:rsidR="00FE46C6" w:rsidRDefault="00000000">
      <w:pPr>
        <w:pStyle w:val="Akapitzlist"/>
        <w:widowControl w:val="0"/>
        <w:numPr>
          <w:ilvl w:val="2"/>
          <w:numId w:val="7"/>
        </w:numPr>
        <w:spacing w:before="60" w:after="240" w:line="360" w:lineRule="auto"/>
        <w:ind w:left="1560" w:hanging="709"/>
        <w:rPr>
          <w:rFonts w:ascii="Arial" w:hAnsi="Arial" w:cs="Arial"/>
          <w:spacing w:val="-4"/>
        </w:rPr>
      </w:pPr>
      <w:r>
        <w:rPr>
          <w:rFonts w:ascii="Arial" w:hAnsi="Arial" w:cs="Arial"/>
          <w:spacing w:val="-4"/>
        </w:rPr>
        <w:t>W przypadku określonym w art. 81 ust. 11 pkt 5 ustawy z dnia 20 czerwca 1997 r. Prawo o ruchu drogowym, ubezpieczyciel pokryje koszty dodatkowego badania technicznego, o którym mowa w art. 31 ustawy z dnia 11 września 2015 r. o działalności ubezpiecze</w:t>
      </w:r>
      <w:r>
        <w:rPr>
          <w:rFonts w:ascii="Arial" w:hAnsi="Arial" w:cs="Arial"/>
          <w:spacing w:val="-4"/>
        </w:rPr>
        <w:softHyphen/>
        <w:t>niowej i reasekuracyjnej.</w:t>
      </w:r>
    </w:p>
    <w:p w14:paraId="61B55836" w14:textId="77777777" w:rsidR="00FE46C6" w:rsidRDefault="00000000">
      <w:pPr>
        <w:pStyle w:val="Akapitzlist"/>
        <w:widowControl w:val="0"/>
        <w:numPr>
          <w:ilvl w:val="0"/>
          <w:numId w:val="7"/>
        </w:numPr>
        <w:spacing w:before="120" w:line="360" w:lineRule="auto"/>
        <w:ind w:left="425" w:hanging="425"/>
        <w:rPr>
          <w:rFonts w:ascii="Arial" w:hAnsi="Arial" w:cs="Arial"/>
          <w:b/>
          <w:spacing w:val="-4"/>
        </w:rPr>
      </w:pPr>
      <w:bookmarkStart w:id="9" w:name="_Toc61868284"/>
      <w:r>
        <w:rPr>
          <w:rFonts w:ascii="Arial" w:hAnsi="Arial" w:cs="Arial"/>
          <w:b/>
          <w:spacing w:val="-4"/>
        </w:rPr>
        <w:t>Zasady zawierania umów.</w:t>
      </w:r>
      <w:bookmarkEnd w:id="9"/>
    </w:p>
    <w:p w14:paraId="05060628" w14:textId="77777777" w:rsidR="00FE46C6" w:rsidRDefault="00000000">
      <w:pPr>
        <w:pStyle w:val="Akapitzlist"/>
        <w:widowControl w:val="0"/>
        <w:numPr>
          <w:ilvl w:val="1"/>
          <w:numId w:val="7"/>
        </w:numPr>
        <w:spacing w:before="60" w:line="360" w:lineRule="auto"/>
        <w:ind w:left="850" w:hanging="425"/>
        <w:rPr>
          <w:rFonts w:ascii="Arial" w:hAnsi="Arial" w:cs="Arial"/>
          <w:spacing w:val="-4"/>
        </w:rPr>
      </w:pPr>
      <w:r>
        <w:rPr>
          <w:rFonts w:ascii="Arial" w:hAnsi="Arial" w:cs="Arial"/>
          <w:spacing w:val="-4"/>
        </w:rPr>
        <w:t>Warunki, składki i stawki taryfowe.</w:t>
      </w:r>
    </w:p>
    <w:p w14:paraId="5326EDA5" w14:textId="77777777" w:rsidR="00FE46C6" w:rsidRDefault="00000000">
      <w:pPr>
        <w:pStyle w:val="Akapitzlist"/>
        <w:widowControl w:val="0"/>
        <w:numPr>
          <w:ilvl w:val="2"/>
          <w:numId w:val="7"/>
        </w:numPr>
        <w:spacing w:before="60" w:line="360" w:lineRule="auto"/>
        <w:ind w:left="1134" w:hanging="708"/>
        <w:rPr>
          <w:rFonts w:ascii="Arial" w:hAnsi="Arial" w:cs="Arial"/>
          <w:spacing w:val="-4"/>
        </w:rPr>
      </w:pPr>
      <w:r>
        <w:rPr>
          <w:rFonts w:ascii="Arial" w:hAnsi="Arial" w:cs="Arial"/>
          <w:spacing w:val="-4"/>
        </w:rPr>
        <w:t>Ubezpieczyciel gwarantuje niezmienność warunków, składek i stawek taryfowych rocznych wynikających ze złożonej oferty, przez cały okres wykonywania zamówienia i we wszystkich rodzajach ubezpieczeń, z zastrzeżeniem zmiany obowiązujących przepisów prawa.</w:t>
      </w:r>
    </w:p>
    <w:p w14:paraId="1777A6DD" w14:textId="77777777" w:rsidR="00FE46C6" w:rsidRDefault="00000000">
      <w:pPr>
        <w:pStyle w:val="Akapitzlist"/>
        <w:widowControl w:val="0"/>
        <w:numPr>
          <w:ilvl w:val="2"/>
          <w:numId w:val="7"/>
        </w:numPr>
        <w:spacing w:before="60" w:line="360" w:lineRule="auto"/>
        <w:ind w:left="1134" w:hanging="708"/>
        <w:rPr>
          <w:rFonts w:ascii="Arial" w:hAnsi="Arial" w:cs="Arial"/>
          <w:spacing w:val="-6"/>
        </w:rPr>
      </w:pPr>
      <w:r>
        <w:rPr>
          <w:rFonts w:ascii="Arial" w:hAnsi="Arial" w:cs="Arial"/>
          <w:spacing w:val="-6"/>
        </w:rPr>
        <w:t xml:space="preserve">Składki roczne za ubezpieczenie pojazdów od uszkodzeń i kradzieży auto casco muszą być naliczane od aktualnej na dzień wystawiania dokumentu ubezpieczeniowego sumy ubezpieczenia pojazdu. </w:t>
      </w:r>
    </w:p>
    <w:p w14:paraId="6449308B" w14:textId="77777777" w:rsidR="00FE46C6" w:rsidRDefault="00000000">
      <w:pPr>
        <w:pStyle w:val="Akapitzlist"/>
        <w:widowControl w:val="0"/>
        <w:numPr>
          <w:ilvl w:val="2"/>
          <w:numId w:val="7"/>
        </w:numPr>
        <w:spacing w:before="60" w:line="360" w:lineRule="auto"/>
        <w:ind w:left="1134" w:hanging="708"/>
        <w:rPr>
          <w:rFonts w:ascii="Arial" w:hAnsi="Arial" w:cs="Arial"/>
          <w:spacing w:val="-4"/>
        </w:rPr>
      </w:pPr>
      <w:r>
        <w:rPr>
          <w:rFonts w:ascii="Arial" w:hAnsi="Arial" w:cs="Arial"/>
          <w:spacing w:val="-4"/>
        </w:rPr>
        <w:t xml:space="preserve">Polisy potwierdzające obowiązkowe ubezpieczenie odpowiedzialności cywilnej posiadaczy pojazdów mechanicznych (OC), ubezpieczenie auto casco (AC), ubezpieczenie następstw nieszczęśliwych wypadków kierowcy i pasażerów (NNW) będą wystawiane na pełen roczny okres ubezpieczenia, rozpoczynający się w terminie wykonania zamówienia od następnego dnia od dnia wygasania dotychczasowych umów. W odniesieniu do pojazdów, których termin ubezpieczenia AC, lub NNW różni się od terminu ubezpieczenia obowiązkowego OC, w pierwszym rocznym okresie ubezpieczenie AC i NNW będzie wyrównywane na dzień końca </w:t>
      </w:r>
      <w:r>
        <w:rPr>
          <w:rFonts w:ascii="Arial" w:hAnsi="Arial" w:cs="Arial"/>
          <w:spacing w:val="-4"/>
        </w:rPr>
        <w:lastRenderedPageBreak/>
        <w:t xml:space="preserve">ubezpieczenia OC. </w:t>
      </w:r>
    </w:p>
    <w:p w14:paraId="66D8308A" w14:textId="77777777" w:rsidR="00FE46C6" w:rsidRDefault="00000000">
      <w:pPr>
        <w:pStyle w:val="Akapitzlist"/>
        <w:widowControl w:val="0"/>
        <w:numPr>
          <w:ilvl w:val="1"/>
          <w:numId w:val="7"/>
        </w:numPr>
        <w:spacing w:before="60" w:line="360" w:lineRule="auto"/>
        <w:ind w:left="850" w:hanging="425"/>
        <w:rPr>
          <w:rFonts w:ascii="Arial" w:hAnsi="Arial" w:cs="Arial"/>
          <w:spacing w:val="-4"/>
        </w:rPr>
      </w:pPr>
      <w:r>
        <w:rPr>
          <w:rFonts w:ascii="Arial" w:hAnsi="Arial" w:cs="Arial"/>
          <w:spacing w:val="-4"/>
        </w:rPr>
        <w:t>Przyjmowanie pojazdów do ubezpieczenia.</w:t>
      </w:r>
    </w:p>
    <w:p w14:paraId="0ECB1B7E" w14:textId="34AA4D92" w:rsidR="00FE46C6" w:rsidRDefault="00000000">
      <w:pPr>
        <w:pStyle w:val="Akapitzlist"/>
        <w:widowControl w:val="0"/>
        <w:numPr>
          <w:ilvl w:val="2"/>
          <w:numId w:val="7"/>
        </w:numPr>
        <w:spacing w:before="60" w:line="360" w:lineRule="auto"/>
        <w:ind w:left="1134" w:hanging="708"/>
      </w:pPr>
      <w:r>
        <w:rPr>
          <w:rFonts w:ascii="Arial" w:hAnsi="Arial" w:cs="Arial"/>
          <w:spacing w:val="-4"/>
        </w:rPr>
        <w:t>Pojazdy mechaniczne wykazane w </w:t>
      </w:r>
      <w:r w:rsidR="008B7170">
        <w:rPr>
          <w:rFonts w:ascii="Arial" w:hAnsi="Arial" w:cs="Arial"/>
        </w:rPr>
        <w:t>SWZ</w:t>
      </w:r>
      <w:r>
        <w:rPr>
          <w:rFonts w:ascii="Arial" w:hAnsi="Arial" w:cs="Arial"/>
          <w:spacing w:val="-4"/>
        </w:rPr>
        <w:t xml:space="preserve"> będą przyjmowane do ubezpieczenia OC, AC, bez konieczności dokonywania oględzin </w:t>
      </w:r>
      <w:r>
        <w:rPr>
          <w:rFonts w:ascii="Arial" w:hAnsi="Arial" w:cs="Arial"/>
          <w:spacing w:val="-4"/>
        </w:rPr>
        <w:br/>
        <w:t>i dokumentacji fotograficznej  jedynie na podstawie  oświadczenia ubezpieczającego o braku uszkodzeń lub zaświadczenia o przebiegu ubezpieczenia u dotychczasowego ubezpieczyciela.</w:t>
      </w:r>
    </w:p>
    <w:p w14:paraId="20EA5FD5" w14:textId="77777777" w:rsidR="00FE46C6" w:rsidRDefault="00000000">
      <w:pPr>
        <w:pStyle w:val="Akapitzlist"/>
        <w:widowControl w:val="0"/>
        <w:numPr>
          <w:ilvl w:val="2"/>
          <w:numId w:val="7"/>
        </w:numPr>
        <w:spacing w:before="60" w:line="360" w:lineRule="auto"/>
        <w:ind w:left="1134" w:hanging="708"/>
        <w:rPr>
          <w:rFonts w:ascii="Arial" w:hAnsi="Arial" w:cs="Arial"/>
          <w:spacing w:val="-4"/>
        </w:rPr>
      </w:pPr>
      <w:r>
        <w:rPr>
          <w:rFonts w:ascii="Arial" w:hAnsi="Arial" w:cs="Arial"/>
          <w:spacing w:val="-4"/>
        </w:rPr>
        <w:t>Pojazdy zdjęte ze stanu środków trwałych w okresie ubezpieczenia tracą ochronę z dniem zbycia, wyrejestrowania lub z dniem zakończenia leasingu, a rozliczenie składki nastąpi w stosunku do faktycznego okresu trwania ochrony ubezpieczeniowej.</w:t>
      </w:r>
    </w:p>
    <w:p w14:paraId="5A6B248D" w14:textId="77777777" w:rsidR="00FE46C6" w:rsidRDefault="00000000">
      <w:pPr>
        <w:pStyle w:val="Akapitzlist"/>
        <w:widowControl w:val="0"/>
        <w:numPr>
          <w:ilvl w:val="1"/>
          <w:numId w:val="7"/>
        </w:numPr>
        <w:spacing w:before="60" w:line="360" w:lineRule="auto"/>
        <w:ind w:left="1134" w:hanging="708"/>
        <w:rPr>
          <w:rFonts w:ascii="Arial" w:hAnsi="Arial" w:cs="Arial"/>
          <w:spacing w:val="-4"/>
        </w:rPr>
      </w:pPr>
      <w:r>
        <w:rPr>
          <w:rFonts w:ascii="Arial" w:hAnsi="Arial" w:cs="Arial"/>
          <w:spacing w:val="-4"/>
        </w:rPr>
        <w:t>Suma ubezpieczenia pojazdów mechanicznych ubezpieczanych w zakresie auto casco.</w:t>
      </w:r>
    </w:p>
    <w:p w14:paraId="3FD41F09" w14:textId="5E23EC21" w:rsidR="00460B1F" w:rsidRPr="00460B1F" w:rsidRDefault="00000000">
      <w:pPr>
        <w:pStyle w:val="Akapitzlist"/>
        <w:widowControl w:val="0"/>
        <w:numPr>
          <w:ilvl w:val="2"/>
          <w:numId w:val="7"/>
        </w:numPr>
        <w:spacing w:before="60" w:line="360" w:lineRule="auto"/>
        <w:ind w:left="1134" w:hanging="708"/>
      </w:pPr>
      <w:bookmarkStart w:id="10" w:name="_Hlk47954793"/>
      <w:r w:rsidRPr="0083145B">
        <w:rPr>
          <w:rFonts w:ascii="Arial" w:hAnsi="Arial" w:cs="Arial"/>
          <w:spacing w:val="-4"/>
        </w:rPr>
        <w:t xml:space="preserve">Pojazdy </w:t>
      </w:r>
      <w:r w:rsidR="00460B1F" w:rsidRPr="0083145B">
        <w:rPr>
          <w:rFonts w:ascii="Arial" w:hAnsi="Arial" w:cs="Arial"/>
          <w:spacing w:val="-4"/>
        </w:rPr>
        <w:t>p</w:t>
      </w:r>
      <w:r w:rsidR="00460B1F">
        <w:rPr>
          <w:rFonts w:ascii="Arial" w:hAnsi="Arial" w:cs="Arial"/>
          <w:spacing w:val="-4"/>
        </w:rPr>
        <w:t>odlegające ubezpieczeniu</w:t>
      </w:r>
      <w:r>
        <w:rPr>
          <w:rFonts w:ascii="Arial" w:hAnsi="Arial" w:cs="Arial"/>
          <w:spacing w:val="-4"/>
        </w:rPr>
        <w:t xml:space="preserve"> będą przyjmowane do ubezpieczenia według wartości </w:t>
      </w:r>
      <w:bookmarkStart w:id="11" w:name="_Hlk107233699"/>
      <w:r>
        <w:rPr>
          <w:rFonts w:ascii="Arial" w:hAnsi="Arial" w:cs="Arial"/>
          <w:spacing w:val="-4"/>
        </w:rPr>
        <w:t xml:space="preserve">netto (bez podatku VAT) </w:t>
      </w:r>
      <w:bookmarkEnd w:id="11"/>
      <w:r>
        <w:rPr>
          <w:rFonts w:ascii="Arial" w:hAnsi="Arial" w:cs="Arial"/>
          <w:spacing w:val="-4"/>
        </w:rPr>
        <w:t xml:space="preserve">- </w:t>
      </w:r>
      <w:r>
        <w:rPr>
          <w:rFonts w:ascii="Arial" w:hAnsi="Arial" w:cs="Arial"/>
          <w:i/>
          <w:iCs/>
          <w:spacing w:val="-4"/>
        </w:rPr>
        <w:t>wartość pojazdu</w:t>
      </w:r>
      <w:r w:rsidR="00460B1F">
        <w:rPr>
          <w:rFonts w:ascii="Arial" w:hAnsi="Arial" w:cs="Arial"/>
          <w:i/>
          <w:iCs/>
          <w:spacing w:val="-4"/>
        </w:rPr>
        <w:t xml:space="preserve"> wskazana przez Zamawiającego.</w:t>
      </w:r>
    </w:p>
    <w:p w14:paraId="5B661B93" w14:textId="4A55275E" w:rsidR="00FE46C6" w:rsidRDefault="00000000">
      <w:pPr>
        <w:pStyle w:val="Akapitzlist"/>
        <w:widowControl w:val="0"/>
        <w:numPr>
          <w:ilvl w:val="2"/>
          <w:numId w:val="7"/>
        </w:numPr>
        <w:spacing w:before="60" w:line="360" w:lineRule="auto"/>
        <w:ind w:left="1134" w:hanging="708"/>
      </w:pPr>
      <w:r>
        <w:rPr>
          <w:rFonts w:ascii="Arial" w:hAnsi="Arial" w:cs="Arial"/>
          <w:i/>
          <w:iCs/>
          <w:spacing w:val="-4"/>
        </w:rPr>
        <w:t xml:space="preserve"> (bez podatku VAT).</w:t>
      </w:r>
    </w:p>
    <w:bookmarkEnd w:id="10"/>
    <w:p w14:paraId="773CB4E2" w14:textId="77777777" w:rsidR="00FE46C6" w:rsidRDefault="00000000">
      <w:pPr>
        <w:pStyle w:val="Akapitzlist"/>
        <w:widowControl w:val="0"/>
        <w:numPr>
          <w:ilvl w:val="2"/>
          <w:numId w:val="7"/>
        </w:numPr>
        <w:spacing w:before="60" w:line="360" w:lineRule="auto"/>
        <w:ind w:left="1134" w:hanging="708"/>
        <w:rPr>
          <w:rFonts w:ascii="Arial" w:hAnsi="Arial" w:cs="Arial"/>
          <w:spacing w:val="-4"/>
        </w:rPr>
      </w:pPr>
      <w:r>
        <w:rPr>
          <w:rFonts w:ascii="Arial" w:hAnsi="Arial" w:cs="Arial"/>
          <w:spacing w:val="-4"/>
        </w:rPr>
        <w:t>Suma ubezpieczenia pojazdu zawiera także wartość wyposażenia podstawowego oraz wyposażenie dodatkowe (fabryczne oraz zamontowane dodatkowo), a także specjali</w:t>
      </w:r>
      <w:r>
        <w:rPr>
          <w:rFonts w:ascii="Arial" w:hAnsi="Arial" w:cs="Arial"/>
          <w:spacing w:val="-4"/>
        </w:rPr>
        <w:softHyphen/>
        <w:t>styczne (np. kasowniki, monitoring itp.).  W szczególności za wyposażenie podstawowe i dodatkowe uznaje się sprzęt i urządzenia na stałe zamontowane w pojeździe, których demontaż wymaga użycia narzędzi lub przyrządów, m.in.:</w:t>
      </w:r>
    </w:p>
    <w:p w14:paraId="6EF4442D" w14:textId="77777777" w:rsidR="00FE46C6" w:rsidRDefault="00000000">
      <w:pPr>
        <w:pStyle w:val="Akapitzlist"/>
        <w:widowControl w:val="0"/>
        <w:numPr>
          <w:ilvl w:val="0"/>
          <w:numId w:val="18"/>
        </w:numPr>
        <w:spacing w:line="360" w:lineRule="auto"/>
        <w:ind w:left="1134" w:hanging="425"/>
        <w:contextualSpacing/>
        <w:rPr>
          <w:rFonts w:ascii="Arial" w:hAnsi="Arial" w:cs="Arial"/>
          <w:spacing w:val="-4"/>
        </w:rPr>
      </w:pPr>
      <w:r>
        <w:rPr>
          <w:rFonts w:ascii="Arial" w:hAnsi="Arial" w:cs="Arial"/>
          <w:spacing w:val="-4"/>
        </w:rPr>
        <w:t>sprzęt i urządzenia do utrzymania i używania pojazdu zgodnie z jego przeznaczeniem, a także służące bezpieczeństwu jazdy;</w:t>
      </w:r>
    </w:p>
    <w:p w14:paraId="2BE858C7" w14:textId="77777777" w:rsidR="00FE46C6" w:rsidRDefault="00000000">
      <w:pPr>
        <w:pStyle w:val="Akapitzlist"/>
        <w:widowControl w:val="0"/>
        <w:numPr>
          <w:ilvl w:val="0"/>
          <w:numId w:val="17"/>
        </w:numPr>
        <w:spacing w:line="360" w:lineRule="auto"/>
        <w:ind w:left="1134" w:hanging="425"/>
        <w:contextualSpacing/>
        <w:rPr>
          <w:rFonts w:ascii="Arial" w:hAnsi="Arial" w:cs="Arial"/>
          <w:spacing w:val="-4"/>
        </w:rPr>
      </w:pPr>
      <w:r>
        <w:rPr>
          <w:rFonts w:ascii="Arial" w:hAnsi="Arial" w:cs="Arial"/>
          <w:spacing w:val="-4"/>
        </w:rPr>
        <w:t xml:space="preserve">zabezpieczenia przed kradzieżą, urządzenia służące zwiększeniu bezpieczeństwa jazdy; </w:t>
      </w:r>
    </w:p>
    <w:p w14:paraId="0BA28976" w14:textId="77777777" w:rsidR="00FE46C6" w:rsidRDefault="00000000">
      <w:pPr>
        <w:pStyle w:val="Akapitzlist"/>
        <w:widowControl w:val="0"/>
        <w:numPr>
          <w:ilvl w:val="0"/>
          <w:numId w:val="17"/>
        </w:numPr>
        <w:spacing w:line="360" w:lineRule="auto"/>
        <w:ind w:left="1134" w:hanging="425"/>
        <w:contextualSpacing/>
        <w:rPr>
          <w:rFonts w:ascii="Arial" w:hAnsi="Arial" w:cs="Arial"/>
          <w:spacing w:val="-4"/>
        </w:rPr>
      </w:pPr>
      <w:r>
        <w:rPr>
          <w:rFonts w:ascii="Arial" w:hAnsi="Arial" w:cs="Arial"/>
          <w:spacing w:val="-4"/>
        </w:rPr>
        <w:t>sprzęt audio, audiowizualny, łączności radiotelefonicznej wraz z głośnikami i antenami;</w:t>
      </w:r>
    </w:p>
    <w:p w14:paraId="75802C0F" w14:textId="77777777" w:rsidR="00FE46C6" w:rsidRDefault="00000000">
      <w:pPr>
        <w:pStyle w:val="Akapitzlist"/>
        <w:widowControl w:val="0"/>
        <w:numPr>
          <w:ilvl w:val="0"/>
          <w:numId w:val="17"/>
        </w:numPr>
        <w:spacing w:line="360" w:lineRule="auto"/>
        <w:ind w:left="1134" w:hanging="425"/>
        <w:contextualSpacing/>
        <w:rPr>
          <w:rFonts w:ascii="Arial" w:hAnsi="Arial" w:cs="Arial"/>
          <w:spacing w:val="-4"/>
        </w:rPr>
      </w:pPr>
      <w:r>
        <w:rPr>
          <w:rFonts w:ascii="Arial" w:hAnsi="Arial" w:cs="Arial"/>
          <w:spacing w:val="-4"/>
        </w:rPr>
        <w:t>specjalistyczny sprzęt zamontowany na stałe w pojazdach specjalnych;</w:t>
      </w:r>
    </w:p>
    <w:p w14:paraId="5127447E" w14:textId="77777777" w:rsidR="00FE46C6" w:rsidRDefault="00000000">
      <w:pPr>
        <w:pStyle w:val="Akapitzlist"/>
        <w:widowControl w:val="0"/>
        <w:numPr>
          <w:ilvl w:val="0"/>
          <w:numId w:val="17"/>
        </w:numPr>
        <w:spacing w:line="360" w:lineRule="auto"/>
        <w:ind w:left="1134" w:hanging="425"/>
        <w:contextualSpacing/>
        <w:rPr>
          <w:rFonts w:ascii="Arial" w:hAnsi="Arial" w:cs="Arial"/>
          <w:spacing w:val="-4"/>
        </w:rPr>
      </w:pPr>
      <w:r>
        <w:rPr>
          <w:rFonts w:ascii="Arial" w:hAnsi="Arial" w:cs="Arial"/>
          <w:spacing w:val="-4"/>
        </w:rPr>
        <w:t>inne urządzenia niestanowiące seryjnego wyposażenia fabrycznego w danym modelu;</w:t>
      </w:r>
    </w:p>
    <w:p w14:paraId="6A7B7827" w14:textId="77777777" w:rsidR="00FE46C6" w:rsidRDefault="00000000">
      <w:pPr>
        <w:pStyle w:val="Akapitzlist"/>
        <w:widowControl w:val="0"/>
        <w:numPr>
          <w:ilvl w:val="0"/>
          <w:numId w:val="17"/>
        </w:numPr>
        <w:spacing w:line="360" w:lineRule="auto"/>
        <w:ind w:left="1134" w:hanging="425"/>
        <w:contextualSpacing/>
        <w:rPr>
          <w:rFonts w:ascii="Arial" w:hAnsi="Arial" w:cs="Arial"/>
          <w:spacing w:val="-4"/>
        </w:rPr>
      </w:pPr>
      <w:r>
        <w:rPr>
          <w:rFonts w:ascii="Arial" w:hAnsi="Arial" w:cs="Arial"/>
          <w:spacing w:val="-4"/>
        </w:rPr>
        <w:t>napisy reklamowe, firmowe oraz reklamy umieszczone na pojazdach.</w:t>
      </w:r>
    </w:p>
    <w:p w14:paraId="1DBD5CF7" w14:textId="77777777" w:rsidR="00FE46C6" w:rsidRDefault="00000000">
      <w:pPr>
        <w:pStyle w:val="Akapitzlist"/>
        <w:widowControl w:val="0"/>
        <w:numPr>
          <w:ilvl w:val="0"/>
          <w:numId w:val="7"/>
        </w:numPr>
        <w:spacing w:before="120" w:line="360" w:lineRule="auto"/>
        <w:ind w:left="425" w:hanging="425"/>
        <w:rPr>
          <w:rFonts w:ascii="Arial" w:hAnsi="Arial" w:cs="Arial"/>
          <w:b/>
          <w:spacing w:val="-4"/>
        </w:rPr>
      </w:pPr>
      <w:bookmarkStart w:id="12" w:name="_Toc61868285"/>
      <w:r>
        <w:rPr>
          <w:rFonts w:ascii="Arial" w:hAnsi="Arial" w:cs="Arial"/>
          <w:b/>
          <w:spacing w:val="-4"/>
        </w:rPr>
        <w:lastRenderedPageBreak/>
        <w:t>Obligatoryjne zasady likwidacji szkód.</w:t>
      </w:r>
      <w:bookmarkEnd w:id="12"/>
    </w:p>
    <w:p w14:paraId="04A43FAF"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Wykonawca zobowiązuje się do prowadzenia wszelkich kontaktów z Zamawiającym związanych z likwidacją szkód, w szczególności w zakresie:</w:t>
      </w:r>
    </w:p>
    <w:p w14:paraId="2C2BC8C9" w14:textId="77777777" w:rsidR="00FE46C6" w:rsidRDefault="00000000">
      <w:pPr>
        <w:pStyle w:val="Akapitzlist"/>
        <w:widowControl w:val="0"/>
        <w:numPr>
          <w:ilvl w:val="0"/>
          <w:numId w:val="20"/>
        </w:numPr>
        <w:spacing w:line="360" w:lineRule="auto"/>
        <w:ind w:left="1276" w:hanging="283"/>
        <w:contextualSpacing/>
        <w:rPr>
          <w:rFonts w:ascii="Arial" w:hAnsi="Arial" w:cs="Arial"/>
          <w:spacing w:val="-4"/>
        </w:rPr>
      </w:pPr>
      <w:r>
        <w:rPr>
          <w:rFonts w:ascii="Arial" w:hAnsi="Arial" w:cs="Arial"/>
          <w:spacing w:val="-4"/>
        </w:rPr>
        <w:t xml:space="preserve">przekazywania informacji o przyjęciu i zarejestrowaniu szkody nie później niż w ciągu 2 dni roboczych od daty zgłoszenia szkody; </w:t>
      </w:r>
    </w:p>
    <w:p w14:paraId="26C280F1" w14:textId="77777777" w:rsidR="00FE46C6" w:rsidRDefault="00000000">
      <w:pPr>
        <w:pStyle w:val="Akapitzlist"/>
        <w:widowControl w:val="0"/>
        <w:numPr>
          <w:ilvl w:val="0"/>
          <w:numId w:val="19"/>
        </w:numPr>
        <w:spacing w:line="360" w:lineRule="auto"/>
        <w:ind w:left="1276" w:hanging="283"/>
        <w:contextualSpacing/>
        <w:rPr>
          <w:rFonts w:ascii="Arial" w:hAnsi="Arial" w:cs="Arial"/>
          <w:spacing w:val="-4"/>
        </w:rPr>
      </w:pPr>
      <w:r>
        <w:rPr>
          <w:rFonts w:ascii="Arial" w:hAnsi="Arial" w:cs="Arial"/>
          <w:spacing w:val="-4"/>
        </w:rPr>
        <w:t>dostarczania wykazu dokumentów i/lub informacji niezbędnych do ustalenia odpowiedzial</w:t>
      </w:r>
      <w:r>
        <w:rPr>
          <w:rFonts w:ascii="Arial" w:hAnsi="Arial" w:cs="Arial"/>
          <w:spacing w:val="-4"/>
        </w:rPr>
        <w:softHyphen/>
        <w:t>ności i wysokości szkody, nie później niż w ciągu 5 dni od daty zgłoszenia szkody;</w:t>
      </w:r>
    </w:p>
    <w:p w14:paraId="0ED960B1" w14:textId="77777777" w:rsidR="00FE46C6" w:rsidRDefault="00000000">
      <w:pPr>
        <w:pStyle w:val="Akapitzlist"/>
        <w:widowControl w:val="0"/>
        <w:numPr>
          <w:ilvl w:val="0"/>
          <w:numId w:val="19"/>
        </w:numPr>
        <w:spacing w:line="360" w:lineRule="auto"/>
        <w:ind w:left="1276" w:hanging="283"/>
        <w:contextualSpacing/>
        <w:rPr>
          <w:rFonts w:ascii="Arial" w:hAnsi="Arial" w:cs="Arial"/>
          <w:spacing w:val="-4"/>
        </w:rPr>
      </w:pPr>
      <w:r>
        <w:rPr>
          <w:rFonts w:ascii="Arial" w:hAnsi="Arial" w:cs="Arial"/>
          <w:spacing w:val="-4"/>
        </w:rPr>
        <w:t>udzielania odpowiedzi w ciągu 2 dni roboczych na pytania dotyczące zaawansowania procedury likwidacji szkód;</w:t>
      </w:r>
    </w:p>
    <w:p w14:paraId="445F1030" w14:textId="77777777" w:rsidR="00FE46C6" w:rsidRDefault="00000000">
      <w:pPr>
        <w:pStyle w:val="Akapitzlist"/>
        <w:widowControl w:val="0"/>
        <w:numPr>
          <w:ilvl w:val="0"/>
          <w:numId w:val="19"/>
        </w:numPr>
        <w:spacing w:line="360" w:lineRule="auto"/>
        <w:ind w:left="1276" w:hanging="283"/>
        <w:contextualSpacing/>
        <w:rPr>
          <w:rFonts w:ascii="Arial" w:hAnsi="Arial" w:cs="Arial"/>
          <w:spacing w:val="-4"/>
        </w:rPr>
      </w:pPr>
      <w:r>
        <w:rPr>
          <w:rFonts w:ascii="Arial" w:hAnsi="Arial" w:cs="Arial"/>
          <w:spacing w:val="-4"/>
        </w:rPr>
        <w:t>powiadamiania, gdy postępowanie likwidacyjne nie może być zakończone w ciągu 30 dni od zgłoszenia szkody wraz z podaniem uzasadnienia;</w:t>
      </w:r>
    </w:p>
    <w:p w14:paraId="0DFCC986" w14:textId="77777777" w:rsidR="00FE46C6" w:rsidRDefault="00000000">
      <w:pPr>
        <w:pStyle w:val="Akapitzlist"/>
        <w:widowControl w:val="0"/>
        <w:numPr>
          <w:ilvl w:val="0"/>
          <w:numId w:val="19"/>
        </w:numPr>
        <w:spacing w:line="360" w:lineRule="auto"/>
        <w:ind w:left="1276" w:hanging="283"/>
        <w:contextualSpacing/>
        <w:rPr>
          <w:rFonts w:ascii="Arial" w:hAnsi="Arial" w:cs="Arial"/>
          <w:spacing w:val="-4"/>
        </w:rPr>
      </w:pPr>
      <w:r>
        <w:rPr>
          <w:rFonts w:ascii="Arial" w:hAnsi="Arial" w:cs="Arial"/>
          <w:spacing w:val="-4"/>
        </w:rPr>
        <w:t>określenia przypuszczalnego terminu zajęcia ostatecznego stanowiska w sprawie decyzji kończącej postępowanie likwidacyjne;</w:t>
      </w:r>
    </w:p>
    <w:p w14:paraId="35CBC31E" w14:textId="77777777" w:rsidR="00FE46C6" w:rsidRDefault="00000000">
      <w:pPr>
        <w:pStyle w:val="Akapitzlist"/>
        <w:widowControl w:val="0"/>
        <w:numPr>
          <w:ilvl w:val="0"/>
          <w:numId w:val="19"/>
        </w:numPr>
        <w:spacing w:line="360" w:lineRule="auto"/>
        <w:ind w:left="1276" w:hanging="283"/>
        <w:contextualSpacing/>
        <w:rPr>
          <w:rFonts w:ascii="Arial" w:hAnsi="Arial" w:cs="Arial"/>
          <w:spacing w:val="-4"/>
        </w:rPr>
      </w:pPr>
      <w:r>
        <w:rPr>
          <w:rFonts w:ascii="Arial" w:hAnsi="Arial" w:cs="Arial"/>
          <w:spacing w:val="-4"/>
        </w:rPr>
        <w:t>pisemnego informowania Zamawiającego o decyzji kończącej postępowanie likwidacyjne.</w:t>
      </w:r>
    </w:p>
    <w:p w14:paraId="65091A88"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 xml:space="preserve">Po przyjęciu zgłoszenia szkody Wykonawca zobowiązuje się do bezzwłocznego uzgodnienia z Zamawiającym dogodnego dla obu stron terminu oględzin szkody. Dokonanie przez ubezpieczyciela lub na jego zlecenie oględzin pojazdu nastąpi w ciągu 3 dni roboczych od dnia zgłoszenia szkody, a przedstawienie kalkulacji kosztów naprawy w ciągu 3 dni roboczych od dnia dokonania oględzin. W razie niedokonania przez Wykonawcę oględzin w tym terminie, Zamawiający ma prawo sam przekazać pojazd do warsztatu naprawczego, dostarczając Wykonawcy zdjęcia uszkodzonego pojazdu oraz kosztorys naprawy. Maksymalny termin akceptacji przez Wykonawcę kosztorysu, bez której warsztat nie może rozpocząć naprawy, wynosi 3 dni robocze od jego skutecznego dostarczenia; po upływie tego terminu przyjmuje się akcept milczący. Wykonawca wypłaca odszkodowanie na podstawie faktur lub kosztorysu. </w:t>
      </w:r>
    </w:p>
    <w:p w14:paraId="294BBBEF" w14:textId="77777777" w:rsidR="00D26F5C" w:rsidRDefault="00000000" w:rsidP="00D26F5C">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Kalkulacja naprawy sporządzana będzie z uwzględnieniem stawki za 1 roboczogodzinę (RBG)</w:t>
      </w:r>
      <w:r w:rsidR="00D26F5C">
        <w:rPr>
          <w:rFonts w:ascii="Arial" w:hAnsi="Arial" w:cs="Arial"/>
          <w:spacing w:val="-4"/>
        </w:rPr>
        <w:t>.</w:t>
      </w:r>
    </w:p>
    <w:p w14:paraId="59758236" w14:textId="77777777" w:rsidR="00FE46C6" w:rsidRDefault="00000000" w:rsidP="00D26F5C">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 przypadku konieczności dokonania dodatkowych oględzin szkody, Wykonawca przeprowa</w:t>
      </w:r>
      <w:r>
        <w:rPr>
          <w:rFonts w:ascii="Arial" w:hAnsi="Arial" w:cs="Arial"/>
          <w:spacing w:val="-4"/>
        </w:rPr>
        <w:softHyphen/>
        <w:t xml:space="preserve">dzi je w ciągu 3 dni roboczych od dnia zgłoszenia takiej </w:t>
      </w:r>
      <w:r>
        <w:rPr>
          <w:rFonts w:ascii="Arial" w:hAnsi="Arial" w:cs="Arial"/>
          <w:spacing w:val="-4"/>
        </w:rPr>
        <w:lastRenderedPageBreak/>
        <w:t>potrzeby.</w:t>
      </w:r>
    </w:p>
    <w:p w14:paraId="0C1128EA"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Termin oględzin szkody może nastąpić w innym terminie niż wskazany powyżej, po podjęciu właściwych ustaleń z Wykonawcą lub Zamawiającym.</w:t>
      </w:r>
    </w:p>
    <w:p w14:paraId="095B3D94"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 przypadku uznania odpowiedzialności za szkodę, Wykonawca wypłaca odszkodowanie w terminie 30 dni od dnia zgłoszenia szkody, a w przypadku gdy wyjaśnienie w tym terminie okoliczności niezbędnych do ustalenia odpowiedzialności Wykonawcy okazało się niemożliwe, odszkodowanie wypłacone zostanie w terminie 14 dni od dnia, w którym przy zachowaniu należytej staranności wyjaśnienie tych okoliczności okazało się możliwe, nie później jednak niż w terminie 60 dni od daty zgłoszenia szkody. Termin 60 dni na ostateczną wypłatę odszkodowania nie obowiązuje, jeżeli poszkodowany nie dostarczył dokumentów, o które wystąpił Wykonawca, a które mają wpływ na ustalenie wysokości szkody lub odpowiedzial</w:t>
      </w:r>
      <w:r>
        <w:rPr>
          <w:rFonts w:ascii="Arial" w:hAnsi="Arial" w:cs="Arial"/>
          <w:spacing w:val="-4"/>
        </w:rPr>
        <w:softHyphen/>
        <w:t>ności za szkodę oraz gdy ustalenie odpowiedzialności Wykonawcy albo wysokość należnego odszkodowania zależy od toczącego się postępowania karnego lub cywilnego – dotyczy ubezpieczeń dobrowolnych.</w:t>
      </w:r>
    </w:p>
    <w:p w14:paraId="0C55FC75"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 przypadku roszczeń kierowanych do Wykonawcy lub Zamawiającego</w:t>
      </w:r>
      <w:r>
        <w:rPr>
          <w:rFonts w:ascii="Arial" w:hAnsi="Arial" w:cs="Arial"/>
          <w:spacing w:val="-4"/>
        </w:rPr>
        <w:br/>
        <w:t>z zakresu odpowiedzialności cywilnej posiadaczy pojazdów mechanicznych Wykonawca zobligowany jest zasięgnąć opinii Zamawiającego w kwestii uznania przez niego odpowiedzialności za zaistniały wypadek ubezpieczeniowy.</w:t>
      </w:r>
    </w:p>
    <w:p w14:paraId="59C2D5FD"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Wykonawca lub Zamawiający ma prawo do wglądu do dokumentacji złożonej przez poszkodowanego u ubezpieczyciela, jeśli jest to zgodne z obowiązującymi przepisami prawa.</w:t>
      </w:r>
    </w:p>
    <w:p w14:paraId="461C3981"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 przypadku uznania odpowiedzialności za szkodę Wykonawca zobowiązuje się do wypłaty kwoty odszkodowania na rzecz Zamawiającego w terminie 30 dni od zgłoszenia szkody, zgodnie z art. 817 §2 Kodeksu cywilnego.</w:t>
      </w:r>
    </w:p>
    <w:p w14:paraId="43D6D16B"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Wykonawca zobowiązany jest rozpatrzyć odwołanie złożone przez Zamawiającego w ciągu 30 dni od daty otrzymania odwołania.</w:t>
      </w:r>
    </w:p>
    <w:p w14:paraId="232CE19F"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Wykonawca oświadcza, że do rozstrzygnięcia procedury likwidacyjnej wystarczające są kopie dokumentów przesyłane w formie elektronicznej (e</w:t>
      </w:r>
      <w:r>
        <w:rPr>
          <w:rFonts w:ascii="Arial" w:hAnsi="Arial" w:cs="Arial"/>
          <w:spacing w:val="-4"/>
        </w:rPr>
        <w:noBreakHyphen/>
        <w:t xml:space="preserve">mailem lub faksem), za wyjątkiem dokumentów wymaganych w oryginale (np. rachunków, faktur). Niniejsze postanowienie nie dotyczy szkód </w:t>
      </w:r>
      <w:r>
        <w:rPr>
          <w:rFonts w:ascii="Arial" w:hAnsi="Arial" w:cs="Arial"/>
          <w:spacing w:val="-4"/>
        </w:rPr>
        <w:lastRenderedPageBreak/>
        <w:t>osobowych.</w:t>
      </w:r>
    </w:p>
    <w:p w14:paraId="0BD84BE2"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Wykonawca zobowiązuje się do przesyłania raportu o przebiegu ubezpieczeń do Zamawiającego na każdy jego wniosek, w terminie 5 dni roboczych od daty złożenia wniosku.</w:t>
      </w:r>
    </w:p>
    <w:p w14:paraId="03E3DCA5" w14:textId="6152A46F" w:rsidR="00FE46C6" w:rsidRDefault="00000000">
      <w:pPr>
        <w:pStyle w:val="Akapitzlist"/>
        <w:widowControl w:val="0"/>
        <w:numPr>
          <w:ilvl w:val="1"/>
          <w:numId w:val="7"/>
        </w:numPr>
        <w:spacing w:before="60" w:line="360" w:lineRule="auto"/>
        <w:ind w:left="993" w:hanging="633"/>
        <w:rPr>
          <w:rFonts w:ascii="Arial" w:hAnsi="Arial" w:cs="Arial"/>
          <w:spacing w:val="-4"/>
        </w:rPr>
      </w:pPr>
      <w:r>
        <w:rPr>
          <w:rFonts w:ascii="Arial" w:hAnsi="Arial" w:cs="Arial"/>
          <w:spacing w:val="-4"/>
        </w:rPr>
        <w:t xml:space="preserve">przypadku szkód całkowitych, w wyniku których nie będzie pozostałości po szkodzie (utrata, zniszczenie), odszkodowanie zostanie wypłacone w wysokości sumy ubezpieczenia w wartości </w:t>
      </w:r>
      <w:proofErr w:type="spellStart"/>
      <w:r w:rsidR="00460B1F">
        <w:rPr>
          <w:rFonts w:ascii="Arial" w:hAnsi="Arial" w:cs="Arial"/>
          <w:spacing w:val="-4"/>
        </w:rPr>
        <w:t>wskzanej</w:t>
      </w:r>
      <w:proofErr w:type="spellEnd"/>
      <w:r w:rsidR="00460B1F">
        <w:rPr>
          <w:rFonts w:ascii="Arial" w:hAnsi="Arial" w:cs="Arial"/>
          <w:spacing w:val="-4"/>
        </w:rPr>
        <w:t xml:space="preserve"> przez Zamawiającego </w:t>
      </w:r>
      <w:r>
        <w:rPr>
          <w:rFonts w:ascii="Arial" w:hAnsi="Arial" w:cs="Arial"/>
          <w:spacing w:val="-4"/>
        </w:rPr>
        <w:t>netto (bez podatku VAT</w:t>
      </w:r>
      <w:r w:rsidR="00460B1F">
        <w:rPr>
          <w:rFonts w:ascii="Arial" w:hAnsi="Arial" w:cs="Arial"/>
          <w:spacing w:val="-4"/>
        </w:rPr>
        <w:t>).</w:t>
      </w:r>
    </w:p>
    <w:p w14:paraId="57945A9D"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Zniesiona zostaje konsumpcja sumy ubezpieczenia po wypłacie odszkodowania (dotyczy szkód częściowych i całkowitych, jeśli w przypadku szkód całkowitych ubezpieczający podejmie decyzję o przywróceniu pojazdu do stanu sprzed szkody, tj. przeprowadzi jego naprawę) .</w:t>
      </w:r>
    </w:p>
    <w:p w14:paraId="71652D79"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 xml:space="preserve">Przy ustalaniu kwoty odszkodowania nie będą stosowane potrącenia z tytułu zużycia części zakwalifikowanych do naprawy, w tym nadwozia i kabiny pojazdu (zniesienie amortyzacji części zamiennych i urealnienia części – do kalkulacji naprawy będą przyjmowane ceny części nowych, zalecanych przez producenta danego typu pojazdu). Kalkulację naprawy każdorazowo będzie przedstawiał Wykonawca na podstawie wyceny serwisowej. </w:t>
      </w:r>
    </w:p>
    <w:p w14:paraId="518E5F23"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Przy ustalaniu kwoty odszkodowania nie będą miały zastosowania ustalone w ogólnych lub szczególnych warunkach ubezpieczenia ograniczenia, udziały własne bądź inne redukcje odszkodowania z tytułu wieku kierowcy oraz w przypadku popełnienia przez kierującego pojazdem wykroczenia drogowego, takiego jak: wymuszenie pierwszeństwa przejazdu, wyprzedzanie w miejscu niedozwolonym, wjazd na skrzyżowanie przy czerwonym świetle, przekroczenie dozwolonej prędkości, rozmowa kierującego w czasie jazdy przez telefon komórkowy, nieprzestrzeganie znaków drogowych STOP, zakaz ruchu, zakaz wjazdu, zakaz zatrzymywania się i postoju.</w:t>
      </w:r>
    </w:p>
    <w:p w14:paraId="5DE49602"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Wiek kierowcy nie będzie skutkował zmniejszeniem lub odmową wypłaty odszkodowania.</w:t>
      </w:r>
    </w:p>
    <w:p w14:paraId="255BB1D4"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 przypadku utraty pojazdu wskutek kradzieży zuchwałej albo rabunku (rozboju) Wykonawca/Zamawiający jest zwolniony z obowiązku dostarczenia Wykonawcy dokumentów pojazdu oraz kompletu kluczyków, jeżeli je utracił w wyniku takiego zdarzenia.</w:t>
      </w:r>
    </w:p>
    <w:p w14:paraId="49C1E975"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lastRenderedPageBreak/>
        <w:t>Szkody w pojazdach Zamawiającego spowodowane przez zidentyfiko</w:t>
      </w:r>
      <w:r>
        <w:rPr>
          <w:rFonts w:ascii="Arial" w:hAnsi="Arial" w:cs="Arial"/>
          <w:spacing w:val="-4"/>
        </w:rPr>
        <w:softHyphen/>
        <w:t>wanych sprawców mogą być wstępnie likwidowane z ubezpieczenia auto casco.</w:t>
      </w:r>
    </w:p>
    <w:p w14:paraId="2F26065F"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 xml:space="preserve">Szkody wyrządzone Zamawiającemu przez zidentyfikowanych posiadaczy pojazdów mechanicznych, które będą podlegały likwidacji z polisy auto casco, nie będą uwzględniane przy wyliczeniu szkodowości w części odpowiadającej wysokości uzyskanego regresu od sprawcy szkody lub jego ubezpieczyciela. </w:t>
      </w:r>
    </w:p>
    <w:p w14:paraId="60CF2E52"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 przypadku szkód polegających na uszkodzeniu lub kradzieży części pojazdu do wartości 3 000,00 zł, Wykonawca zezwoli na dokonanie naprawy bez oględzin (procedura uprosz</w:t>
      </w:r>
      <w:r>
        <w:rPr>
          <w:rFonts w:ascii="Arial" w:hAnsi="Arial" w:cs="Arial"/>
          <w:spacing w:val="-4"/>
        </w:rPr>
        <w:softHyphen/>
        <w:t>czona), pod warunkiem zgłoszenia szkody przez Zamawiającego oraz przesłanie przez niego protokołu wraz ze zdjęciami szkody. W przypadku podejrzenia, iż szkoda jest konsekwencją popełnienia czynu zabronionego Wykonawca powiadomi niezwłocznie policję, nie później niż w ciągu 24 godzin. Zamawiający nie reguluje szczegółowo zasad i zakresu procedury uproszczonej, a więc zastosowanie w tym względzie będą miały ogólne lub szczególne warunki ubezpieczenia wskazane przez wykonawcę w ofercie.</w:t>
      </w:r>
    </w:p>
    <w:p w14:paraId="0730E865" w14:textId="77777777" w:rsidR="00FE46C6" w:rsidRDefault="00000000">
      <w:pPr>
        <w:pStyle w:val="Akapitzlist"/>
        <w:widowControl w:val="0"/>
        <w:numPr>
          <w:ilvl w:val="1"/>
          <w:numId w:val="7"/>
        </w:numPr>
        <w:spacing w:before="60" w:line="360" w:lineRule="auto"/>
        <w:ind w:left="992" w:hanging="567"/>
      </w:pPr>
      <w:r>
        <w:rPr>
          <w:rFonts w:ascii="Arial" w:hAnsi="Arial" w:cs="Arial"/>
          <w:lang w:eastAsia="pl-PL"/>
        </w:rPr>
        <w:t>Przyjęcie klauzuli gwarantowanej sumy ubezpieczenia auto casco przez roczny okres ubezpieczenia pojazdów.</w:t>
      </w:r>
    </w:p>
    <w:p w14:paraId="7A500DAE"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Przyjęcie klauzuli wynagrodzenia rzeczoznawców i ekspertów.</w:t>
      </w:r>
    </w:p>
    <w:p w14:paraId="6C29C5BE" w14:textId="77777777" w:rsidR="00FE46C6" w:rsidRDefault="00000000">
      <w:pPr>
        <w:pStyle w:val="Akapitzlist"/>
        <w:widowControl w:val="0"/>
        <w:numPr>
          <w:ilvl w:val="0"/>
          <w:numId w:val="22"/>
        </w:numPr>
        <w:spacing w:before="120" w:line="360" w:lineRule="auto"/>
        <w:ind w:left="425" w:hanging="425"/>
        <w:rPr>
          <w:rFonts w:ascii="Arial" w:hAnsi="Arial" w:cs="Arial"/>
          <w:b/>
          <w:spacing w:val="-4"/>
        </w:rPr>
      </w:pPr>
      <w:bookmarkStart w:id="13" w:name="_Toc61868286"/>
      <w:r>
        <w:rPr>
          <w:rFonts w:ascii="Arial" w:hAnsi="Arial" w:cs="Arial"/>
          <w:b/>
          <w:spacing w:val="-4"/>
        </w:rPr>
        <w:t>Pozostałe warunki szczególne obligatoryjne.</w:t>
      </w:r>
      <w:bookmarkEnd w:id="13"/>
    </w:p>
    <w:p w14:paraId="1993FBB1" w14:textId="62880AF5" w:rsidR="00FE46C6" w:rsidRDefault="00000000">
      <w:pPr>
        <w:pStyle w:val="Akapitzlist"/>
        <w:widowControl w:val="0"/>
        <w:numPr>
          <w:ilvl w:val="1"/>
          <w:numId w:val="21"/>
        </w:numPr>
        <w:spacing w:before="60" w:line="360" w:lineRule="auto"/>
        <w:ind w:left="851" w:hanging="425"/>
      </w:pPr>
      <w:r>
        <w:rPr>
          <w:rFonts w:ascii="Arial" w:hAnsi="Arial" w:cs="Arial"/>
          <w:spacing w:val="-4"/>
        </w:rPr>
        <w:t>Przyjęcie treści definicji podanych w </w:t>
      </w:r>
      <w:r w:rsidR="008B7170">
        <w:rPr>
          <w:rFonts w:ascii="Arial" w:hAnsi="Arial" w:cs="Arial"/>
        </w:rPr>
        <w:t>SWZ</w:t>
      </w:r>
      <w:r>
        <w:rPr>
          <w:rFonts w:ascii="Arial" w:hAnsi="Arial" w:cs="Arial"/>
          <w:spacing w:val="-4"/>
        </w:rPr>
        <w:t>.</w:t>
      </w:r>
    </w:p>
    <w:p w14:paraId="5D2B7DE8" w14:textId="77777777" w:rsidR="00FE46C6" w:rsidRDefault="00000000">
      <w:pPr>
        <w:pStyle w:val="Akapitzlist"/>
        <w:widowControl w:val="0"/>
        <w:numPr>
          <w:ilvl w:val="1"/>
          <w:numId w:val="21"/>
        </w:numPr>
        <w:spacing w:before="60" w:line="360" w:lineRule="auto"/>
        <w:ind w:left="851" w:hanging="425"/>
        <w:rPr>
          <w:rFonts w:ascii="Arial" w:hAnsi="Arial" w:cs="Arial"/>
          <w:spacing w:val="-4"/>
        </w:rPr>
      </w:pPr>
      <w:r>
        <w:rPr>
          <w:rFonts w:ascii="Arial" w:hAnsi="Arial" w:cs="Arial"/>
          <w:spacing w:val="-4"/>
        </w:rPr>
        <w:t>Przyjęcie podanej klauzuli likwidacyjnej auto casco.</w:t>
      </w:r>
    </w:p>
    <w:p w14:paraId="688A077E" w14:textId="77777777" w:rsidR="00FE46C6" w:rsidRDefault="00000000">
      <w:pPr>
        <w:pStyle w:val="Akapitzlist"/>
        <w:widowControl w:val="0"/>
        <w:numPr>
          <w:ilvl w:val="1"/>
          <w:numId w:val="21"/>
        </w:numPr>
        <w:spacing w:before="60" w:line="360" w:lineRule="auto"/>
        <w:ind w:left="851" w:hanging="425"/>
        <w:rPr>
          <w:rFonts w:ascii="Arial" w:hAnsi="Arial" w:cs="Arial"/>
          <w:spacing w:val="-4"/>
        </w:rPr>
      </w:pPr>
      <w:r>
        <w:rPr>
          <w:rFonts w:ascii="Arial" w:hAnsi="Arial" w:cs="Arial"/>
          <w:spacing w:val="-4"/>
        </w:rPr>
        <w:t>Przyjęcie podanej klauzuli daty stempla bankowego lub pocztowego.</w:t>
      </w:r>
    </w:p>
    <w:p w14:paraId="124E614A" w14:textId="77777777" w:rsidR="00FE46C6" w:rsidRDefault="00000000">
      <w:pPr>
        <w:pStyle w:val="Akapitzlist"/>
        <w:widowControl w:val="0"/>
        <w:numPr>
          <w:ilvl w:val="1"/>
          <w:numId w:val="21"/>
        </w:numPr>
        <w:spacing w:before="60" w:line="360" w:lineRule="auto"/>
        <w:ind w:left="851" w:hanging="425"/>
        <w:rPr>
          <w:rFonts w:ascii="Arial" w:hAnsi="Arial" w:cs="Arial"/>
          <w:spacing w:val="-4"/>
        </w:rPr>
      </w:pPr>
      <w:r>
        <w:rPr>
          <w:rFonts w:ascii="Arial" w:hAnsi="Arial" w:cs="Arial"/>
          <w:spacing w:val="-4"/>
        </w:rPr>
        <w:t>Przyjęcie podanej klauzuli czasu ochrony.</w:t>
      </w:r>
    </w:p>
    <w:p w14:paraId="63F718AA" w14:textId="77777777" w:rsidR="00FE46C6" w:rsidRDefault="00000000">
      <w:pPr>
        <w:pStyle w:val="Akapitzlist"/>
        <w:widowControl w:val="0"/>
        <w:numPr>
          <w:ilvl w:val="1"/>
          <w:numId w:val="21"/>
        </w:numPr>
        <w:spacing w:before="60" w:line="360" w:lineRule="auto"/>
        <w:ind w:left="851" w:hanging="425"/>
        <w:rPr>
          <w:rFonts w:ascii="Arial" w:hAnsi="Arial" w:cs="Arial"/>
          <w:spacing w:val="-4"/>
        </w:rPr>
      </w:pPr>
      <w:r>
        <w:rPr>
          <w:rFonts w:ascii="Arial" w:hAnsi="Arial" w:cs="Arial"/>
          <w:spacing w:val="-4"/>
        </w:rPr>
        <w:t>Przyjęcie podanej klauzuli nieściągania rat niewymagalnych.</w:t>
      </w:r>
    </w:p>
    <w:p w14:paraId="197A2839" w14:textId="77777777" w:rsidR="00FE46C6" w:rsidRDefault="00000000">
      <w:pPr>
        <w:pStyle w:val="Akapitzlist"/>
        <w:widowControl w:val="0"/>
        <w:numPr>
          <w:ilvl w:val="1"/>
          <w:numId w:val="21"/>
        </w:numPr>
        <w:spacing w:before="60" w:line="360" w:lineRule="auto"/>
        <w:ind w:left="851" w:hanging="425"/>
        <w:rPr>
          <w:rFonts w:ascii="Arial" w:hAnsi="Arial" w:cs="Arial"/>
          <w:spacing w:val="-4"/>
        </w:rPr>
      </w:pPr>
      <w:r>
        <w:rPr>
          <w:rFonts w:ascii="Arial" w:hAnsi="Arial" w:cs="Arial"/>
          <w:spacing w:val="-4"/>
        </w:rPr>
        <w:t>Przyjęcie podanej klauzuli uznania stanu zabezpieczeń.</w:t>
      </w:r>
    </w:p>
    <w:p w14:paraId="7E65CCD9" w14:textId="77777777" w:rsidR="00FE46C6" w:rsidRDefault="00000000">
      <w:pPr>
        <w:pStyle w:val="Akapitzlist"/>
        <w:widowControl w:val="0"/>
        <w:numPr>
          <w:ilvl w:val="1"/>
          <w:numId w:val="21"/>
        </w:numPr>
        <w:spacing w:before="60" w:line="360" w:lineRule="auto"/>
        <w:ind w:left="1418" w:hanging="992"/>
      </w:pPr>
      <w:r>
        <w:rPr>
          <w:rFonts w:ascii="Arial" w:hAnsi="Arial" w:cs="Arial"/>
          <w:lang w:eastAsia="pl-PL"/>
        </w:rPr>
        <w:t>Wykonawca odpowiada za szkody wyrządzone między pojazdami floty będących w posiadaniu/należących do Zamawiającego.</w:t>
      </w:r>
    </w:p>
    <w:p w14:paraId="22709F3D" w14:textId="77777777" w:rsidR="00FE46C6" w:rsidRDefault="00000000">
      <w:pPr>
        <w:pStyle w:val="Akapitzlist"/>
        <w:widowControl w:val="0"/>
        <w:numPr>
          <w:ilvl w:val="1"/>
          <w:numId w:val="24"/>
        </w:numPr>
        <w:spacing w:before="60" w:line="360" w:lineRule="auto"/>
        <w:ind w:left="851" w:hanging="425"/>
        <w:rPr>
          <w:rFonts w:ascii="Arial" w:hAnsi="Arial" w:cs="Arial"/>
          <w:spacing w:val="-4"/>
        </w:rPr>
      </w:pPr>
      <w:r>
        <w:rPr>
          <w:rFonts w:ascii="Arial" w:hAnsi="Arial" w:cs="Arial"/>
          <w:spacing w:val="-4"/>
        </w:rPr>
        <w:t>Przyjęcie podanej klauzuli zbycia przedmiotu ubezpieczenia.</w:t>
      </w:r>
    </w:p>
    <w:p w14:paraId="5599AB1E" w14:textId="77777777" w:rsidR="00FE46C6" w:rsidRDefault="00000000">
      <w:pPr>
        <w:pStyle w:val="Akapitzlist"/>
        <w:widowControl w:val="0"/>
        <w:numPr>
          <w:ilvl w:val="1"/>
          <w:numId w:val="23"/>
        </w:numPr>
        <w:spacing w:before="60" w:line="360" w:lineRule="auto"/>
        <w:ind w:left="851" w:hanging="425"/>
        <w:rPr>
          <w:rFonts w:ascii="Arial" w:hAnsi="Arial" w:cs="Arial"/>
          <w:spacing w:val="-4"/>
        </w:rPr>
      </w:pPr>
      <w:r>
        <w:rPr>
          <w:rFonts w:ascii="Arial" w:hAnsi="Arial" w:cs="Arial"/>
          <w:spacing w:val="-4"/>
        </w:rPr>
        <w:t>Franszyza redukcyjna, integralna, udział własny – brak.</w:t>
      </w:r>
    </w:p>
    <w:p w14:paraId="03469470" w14:textId="77777777" w:rsidR="00FE46C6" w:rsidRDefault="00000000">
      <w:pPr>
        <w:pStyle w:val="Akapitzlist"/>
        <w:widowControl w:val="0"/>
        <w:numPr>
          <w:ilvl w:val="1"/>
          <w:numId w:val="23"/>
        </w:numPr>
        <w:spacing w:before="60" w:line="360" w:lineRule="auto"/>
        <w:ind w:left="851" w:hanging="425"/>
      </w:pPr>
      <w:r>
        <w:rPr>
          <w:rFonts w:ascii="Arial" w:hAnsi="Arial" w:cs="Arial"/>
          <w:spacing w:val="-4"/>
        </w:rPr>
        <w:t xml:space="preserve">Płatność składki rocznej </w:t>
      </w:r>
      <w:r w:rsidR="00D26F5C">
        <w:rPr>
          <w:rFonts w:ascii="Arial" w:hAnsi="Arial" w:cs="Arial"/>
          <w:spacing w:val="-4"/>
        </w:rPr>
        <w:t>w 4</w:t>
      </w:r>
      <w:r>
        <w:rPr>
          <w:rFonts w:ascii="Arial" w:hAnsi="Arial" w:cs="Arial"/>
          <w:spacing w:val="-4"/>
        </w:rPr>
        <w:t xml:space="preserve"> ratach.</w:t>
      </w:r>
    </w:p>
    <w:p w14:paraId="45B94DCD" w14:textId="77777777" w:rsidR="00FE46C6" w:rsidRDefault="00000000">
      <w:pPr>
        <w:pStyle w:val="Akapitzlist"/>
        <w:widowControl w:val="0"/>
        <w:numPr>
          <w:ilvl w:val="0"/>
          <w:numId w:val="23"/>
        </w:numPr>
        <w:spacing w:before="120" w:line="360" w:lineRule="auto"/>
        <w:ind w:left="425" w:hanging="425"/>
        <w:rPr>
          <w:rFonts w:ascii="Arial" w:hAnsi="Arial" w:cs="Arial"/>
          <w:b/>
          <w:spacing w:val="-4"/>
        </w:rPr>
      </w:pPr>
      <w:bookmarkStart w:id="14" w:name="_Toc61868287"/>
      <w:r>
        <w:rPr>
          <w:rFonts w:ascii="Arial" w:hAnsi="Arial" w:cs="Arial"/>
          <w:b/>
          <w:spacing w:val="-4"/>
        </w:rPr>
        <w:lastRenderedPageBreak/>
        <w:t>Klauzule dodatkowe i inne postanowienia szczególne fakultatywne.</w:t>
      </w:r>
      <w:bookmarkEnd w:id="14"/>
    </w:p>
    <w:p w14:paraId="70EA8564" w14:textId="77777777" w:rsidR="00FE46C6" w:rsidRDefault="00000000">
      <w:pPr>
        <w:pStyle w:val="Akapitzlist"/>
        <w:widowControl w:val="0"/>
        <w:numPr>
          <w:ilvl w:val="1"/>
          <w:numId w:val="23"/>
        </w:numPr>
        <w:spacing w:before="60" w:line="360" w:lineRule="auto"/>
        <w:ind w:left="1418" w:hanging="992"/>
        <w:rPr>
          <w:rFonts w:ascii="Arial" w:hAnsi="Arial" w:cs="Arial"/>
          <w:spacing w:val="-4"/>
        </w:rPr>
      </w:pPr>
      <w:bookmarkStart w:id="15" w:name="_Hlk54268077"/>
      <w:r>
        <w:rPr>
          <w:rFonts w:ascii="Arial" w:hAnsi="Arial" w:cs="Arial"/>
          <w:spacing w:val="-4"/>
        </w:rPr>
        <w:t>Uznanie za szkodę częściową uszkodzenie ubezpieczonego pojazdu w takim zakresie, że koszt jego naprawy nie przekracza 80% jego wartości rynkowej na dzień ustalania odszkodowania.</w:t>
      </w:r>
      <w:bookmarkEnd w:id="15"/>
    </w:p>
    <w:p w14:paraId="700C4EF4" w14:textId="77777777" w:rsidR="00FE46C6" w:rsidRDefault="00000000">
      <w:pPr>
        <w:pStyle w:val="Akapitzlist"/>
        <w:widowControl w:val="0"/>
        <w:numPr>
          <w:ilvl w:val="1"/>
          <w:numId w:val="23"/>
        </w:numPr>
        <w:spacing w:before="60" w:line="360" w:lineRule="auto"/>
        <w:ind w:left="1418" w:hanging="992"/>
      </w:pPr>
      <w:r>
        <w:rPr>
          <w:rFonts w:ascii="Arial" w:hAnsi="Arial" w:cs="Arial"/>
        </w:rPr>
        <w:t>Przyjęcie podanej klauzuli szkody całkowitej.</w:t>
      </w:r>
    </w:p>
    <w:p w14:paraId="233DC99F" w14:textId="77777777" w:rsidR="00FE46C6" w:rsidRDefault="00000000">
      <w:pPr>
        <w:pStyle w:val="Akapitzlist"/>
        <w:widowControl w:val="0"/>
        <w:numPr>
          <w:ilvl w:val="1"/>
          <w:numId w:val="23"/>
        </w:numPr>
        <w:spacing w:before="60" w:line="360" w:lineRule="auto"/>
        <w:ind w:left="1418" w:hanging="992"/>
      </w:pPr>
      <w:r>
        <w:rPr>
          <w:rFonts w:ascii="Arial" w:hAnsi="Arial" w:cs="Arial"/>
        </w:rPr>
        <w:t>Przyjęcie klauzuli aktów terroryzmu.</w:t>
      </w:r>
    </w:p>
    <w:p w14:paraId="146CB0A8" w14:textId="77777777" w:rsidR="00FE46C6" w:rsidRDefault="00000000">
      <w:pPr>
        <w:pStyle w:val="Akapitzlist"/>
        <w:widowControl w:val="0"/>
        <w:numPr>
          <w:ilvl w:val="1"/>
          <w:numId w:val="23"/>
        </w:numPr>
        <w:spacing w:before="60" w:line="360" w:lineRule="auto"/>
        <w:ind w:left="1418" w:hanging="992"/>
        <w:rPr>
          <w:rFonts w:ascii="Arial" w:hAnsi="Arial" w:cs="Arial"/>
          <w:spacing w:val="-4"/>
        </w:rPr>
      </w:pPr>
      <w:r>
        <w:rPr>
          <w:rFonts w:ascii="Arial" w:hAnsi="Arial" w:cs="Arial"/>
          <w:spacing w:val="-4"/>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limit jedno zdarzenie w każdym rocznym okresie ubezpieczenia.</w:t>
      </w:r>
    </w:p>
    <w:p w14:paraId="28C1D2FB" w14:textId="77777777" w:rsidR="00FE46C6" w:rsidRDefault="00000000">
      <w:pPr>
        <w:pStyle w:val="Akapitzlist"/>
        <w:widowControl w:val="0"/>
        <w:numPr>
          <w:ilvl w:val="1"/>
          <w:numId w:val="23"/>
        </w:numPr>
        <w:spacing w:before="60" w:line="360" w:lineRule="auto"/>
        <w:ind w:left="851" w:hanging="425"/>
        <w:rPr>
          <w:rFonts w:ascii="Arial" w:hAnsi="Arial" w:cs="Arial"/>
          <w:spacing w:val="-4"/>
        </w:rPr>
      </w:pPr>
      <w:r>
        <w:rPr>
          <w:rFonts w:ascii="Arial" w:hAnsi="Arial" w:cs="Arial"/>
          <w:spacing w:val="-4"/>
        </w:rPr>
        <w:t>Przyjęcie podanej klauzuli ubezpieczenia pojazdu niezabezpieczonego.</w:t>
      </w:r>
    </w:p>
    <w:p w14:paraId="2EC7B8A2" w14:textId="77777777" w:rsidR="00FE46C6" w:rsidRDefault="00000000">
      <w:pPr>
        <w:pStyle w:val="Akapitzlist"/>
        <w:widowControl w:val="0"/>
        <w:numPr>
          <w:ilvl w:val="1"/>
          <w:numId w:val="23"/>
        </w:numPr>
        <w:spacing w:before="60" w:line="360" w:lineRule="auto"/>
        <w:ind w:left="851" w:hanging="425"/>
        <w:rPr>
          <w:rFonts w:ascii="Arial" w:hAnsi="Arial" w:cs="Arial"/>
          <w:spacing w:val="-4"/>
        </w:rPr>
      </w:pPr>
      <w:r>
        <w:rPr>
          <w:rFonts w:ascii="Arial" w:hAnsi="Arial" w:cs="Arial"/>
          <w:spacing w:val="-4"/>
        </w:rPr>
        <w:t>Przyjęcie podanej klauzuli funduszu prewencyjnego.</w:t>
      </w:r>
    </w:p>
    <w:p w14:paraId="3F02E356" w14:textId="77777777" w:rsidR="00FE46C6" w:rsidRDefault="00000000">
      <w:pPr>
        <w:pStyle w:val="Akapitzlist"/>
        <w:widowControl w:val="0"/>
        <w:numPr>
          <w:ilvl w:val="1"/>
          <w:numId w:val="23"/>
        </w:numPr>
        <w:spacing w:before="60" w:line="360" w:lineRule="auto"/>
        <w:ind w:left="1418" w:hanging="992"/>
        <w:rPr>
          <w:rFonts w:ascii="Arial" w:hAnsi="Arial" w:cs="Arial"/>
          <w:spacing w:val="-4"/>
        </w:rPr>
      </w:pPr>
      <w:r>
        <w:rPr>
          <w:rFonts w:ascii="Arial" w:hAnsi="Arial" w:cs="Arial"/>
          <w:spacing w:val="-4"/>
        </w:rPr>
        <w:t xml:space="preserve">Zakres ubezpieczenia obejmuje zniszczenie lub uszkodzenie ogumienia, również w sytuacji gdy uszkodzeniu uległo jedynie ogumienia na skutek wypadku ubezpieczeniowego objętego zakresem ubezpieczenia, za wyjątkiem uszkodzenia ogumienia przez osoby trzecie polegającego na celowym przebiciu – limit odpowiedzialności w wysokości 20 000,00 zł na jedno i wszystkie zdarzenia w każdym rocznym okresie ubezpieczenia.  </w:t>
      </w:r>
      <w:bookmarkStart w:id="16" w:name="_Toc61508008"/>
      <w:bookmarkStart w:id="17" w:name="_Toc61868320"/>
    </w:p>
    <w:p w14:paraId="6CD834D4" w14:textId="56536F08" w:rsidR="00FE46C6" w:rsidRDefault="00FE46C6">
      <w:pPr>
        <w:suppressAutoHyphens w:val="0"/>
        <w:spacing w:after="160" w:line="249" w:lineRule="auto"/>
      </w:pPr>
      <w:bookmarkStart w:id="18" w:name="_Toc61508009"/>
      <w:bookmarkStart w:id="19" w:name="_Toc61868321"/>
      <w:bookmarkEnd w:id="16"/>
      <w:bookmarkEnd w:id="17"/>
    </w:p>
    <w:p w14:paraId="3D6F9A02" w14:textId="4D76AA2E" w:rsidR="00FE46C6" w:rsidRDefault="00FE46C6">
      <w:pPr>
        <w:pageBreakBefore/>
        <w:suppressAutoHyphens w:val="0"/>
        <w:spacing w:after="160" w:line="249" w:lineRule="auto"/>
        <w:rPr>
          <w:sz w:val="2"/>
          <w:szCs w:val="2"/>
        </w:rPr>
      </w:pPr>
    </w:p>
    <w:p w14:paraId="7D741544" w14:textId="497744E4" w:rsidR="00FE46C6" w:rsidRPr="007A5459" w:rsidRDefault="00000000" w:rsidP="003948FF">
      <w:pPr>
        <w:pStyle w:val="Nagwek1"/>
        <w:numPr>
          <w:ilvl w:val="0"/>
          <w:numId w:val="0"/>
        </w:numPr>
        <w:ind w:left="432"/>
        <w:rPr>
          <w:sz w:val="28"/>
          <w:szCs w:val="28"/>
        </w:rPr>
      </w:pPr>
      <w:r w:rsidRPr="007A5459">
        <w:rPr>
          <w:sz w:val="28"/>
          <w:szCs w:val="28"/>
        </w:rPr>
        <w:t xml:space="preserve">Załącznik </w:t>
      </w:r>
      <w:bookmarkEnd w:id="18"/>
      <w:bookmarkEnd w:id="19"/>
      <w:r w:rsidRPr="007A5459">
        <w:rPr>
          <w:sz w:val="28"/>
          <w:szCs w:val="28"/>
        </w:rPr>
        <w:t xml:space="preserve">nr 6 </w:t>
      </w:r>
    </w:p>
    <w:p w14:paraId="6960CA09" w14:textId="77777777" w:rsidR="00FE46C6" w:rsidRDefault="00000000">
      <w:pPr>
        <w:spacing w:line="360" w:lineRule="auto"/>
        <w:rPr>
          <w:rFonts w:ascii="Arial" w:hAnsi="Arial" w:cs="Arial"/>
          <w:spacing w:val="-4"/>
        </w:rPr>
      </w:pPr>
      <w:r>
        <w:rPr>
          <w:rFonts w:ascii="Arial" w:hAnsi="Arial" w:cs="Arial"/>
          <w:spacing w:val="-4"/>
        </w:rPr>
        <w:t>Szczegółowy opis przedmiotu zamówienia zawierający warunki obligatoryjne – definicje pojęć i obligatoryjną treść klauzul dodatkowych, dotyczący zamówienia.</w:t>
      </w:r>
    </w:p>
    <w:p w14:paraId="4133B088" w14:textId="77777777" w:rsidR="00FE46C6" w:rsidRDefault="00000000">
      <w:pPr>
        <w:widowControl w:val="0"/>
        <w:spacing w:before="120" w:line="360" w:lineRule="auto"/>
      </w:pPr>
      <w:r>
        <w:rPr>
          <w:rFonts w:ascii="Arial" w:hAnsi="Arial" w:cs="Arial"/>
          <w:b/>
          <w:bCs/>
          <w:spacing w:val="-4"/>
        </w:rPr>
        <w:t>Klauzula likwidacyjna auto casco</w:t>
      </w:r>
      <w:r>
        <w:rPr>
          <w:rFonts w:ascii="Arial" w:hAnsi="Arial" w:cs="Arial"/>
          <w:spacing w:val="-4"/>
        </w:rPr>
        <w:t xml:space="preserve"> – bez względu na postanowienia ogólnych bądź szczególnych warunków ubezpieczenia, strony umowy ubezpieczenia uzgodniły, że:</w:t>
      </w:r>
    </w:p>
    <w:p w14:paraId="77083582" w14:textId="77777777" w:rsidR="00FE46C6" w:rsidRDefault="00000000">
      <w:pPr>
        <w:widowControl w:val="0"/>
        <w:spacing w:line="360" w:lineRule="auto"/>
        <w:rPr>
          <w:rFonts w:ascii="Arial" w:hAnsi="Arial" w:cs="Arial"/>
          <w:spacing w:val="-5"/>
        </w:rPr>
      </w:pPr>
      <w:r>
        <w:rPr>
          <w:rFonts w:ascii="Arial" w:hAnsi="Arial" w:cs="Arial"/>
          <w:spacing w:val="-5"/>
        </w:rPr>
        <w:t>Jeżeli przyjęta w chwili zawierania umowy ubezpieczenia auto casco suma ubezpieczenia ubezpieczonego pojazdu jest niższa niż jego faktyczna wartość rynkowa na dzień zawierania umowy, jakiekolwiek postanowienia ogólnych lub szczególnych warunków ubezpieczenia, dotyczące proporcjonalnego zmniejszenia odszkodowa</w:t>
      </w:r>
      <w:r>
        <w:rPr>
          <w:rFonts w:ascii="Arial" w:hAnsi="Arial" w:cs="Arial"/>
          <w:spacing w:val="-5"/>
        </w:rPr>
        <w:softHyphen/>
        <w:t>nia lub innej proporcjonalnej jego redukcji z tytułu niedoubezpieczenia nie będą miały zastosowania.</w:t>
      </w:r>
    </w:p>
    <w:p w14:paraId="10F9AFD8" w14:textId="648008A9" w:rsidR="00FE46C6" w:rsidRDefault="00000000">
      <w:pPr>
        <w:widowControl w:val="0"/>
        <w:spacing w:line="360" w:lineRule="auto"/>
        <w:rPr>
          <w:rFonts w:ascii="Arial" w:hAnsi="Arial" w:cs="Arial"/>
          <w:bCs/>
          <w:spacing w:val="-5"/>
        </w:rPr>
      </w:pPr>
      <w:r>
        <w:rPr>
          <w:rFonts w:ascii="Arial" w:hAnsi="Arial" w:cs="Arial"/>
          <w:bCs/>
          <w:spacing w:val="-5"/>
        </w:rPr>
        <w:t>Ubezpieczyciel uzna podane sumy ubezpieczenia za niezmienne  w okresie ubezpieczenia (tzn. wartość pojazdu</w:t>
      </w:r>
      <w:r w:rsidR="00460B1F">
        <w:rPr>
          <w:rFonts w:ascii="Arial" w:hAnsi="Arial" w:cs="Arial"/>
          <w:bCs/>
          <w:spacing w:val="-5"/>
        </w:rPr>
        <w:t xml:space="preserve"> netto wskazana prze Zamawiającego</w:t>
      </w:r>
      <w:r>
        <w:rPr>
          <w:rFonts w:ascii="Arial" w:hAnsi="Arial" w:cs="Arial"/>
          <w:bCs/>
          <w:spacing w:val="-5"/>
        </w:rPr>
        <w:t xml:space="preserve"> dla celów ubezpieczeniowych jest stała w trakcie trwania okresu ubezpieczenia i równa wartości przyjętej do ubezpieczenia), a także uzna sumę ubezpieczenia podaną przez ubezpieczającego za odpowiadającą wartości rynkowej ubezpieczonego pojazdu i nie będzie ponosił z tego tytułu konsekwencji w postaci niedoubezpieczenia.</w:t>
      </w:r>
    </w:p>
    <w:p w14:paraId="55DBAF6F" w14:textId="77777777" w:rsidR="00FE46C6" w:rsidRDefault="00000000">
      <w:pPr>
        <w:widowControl w:val="0"/>
        <w:spacing w:before="120" w:line="360" w:lineRule="auto"/>
      </w:pPr>
      <w:r>
        <w:rPr>
          <w:rFonts w:ascii="Arial" w:hAnsi="Arial" w:cs="Arial"/>
          <w:b/>
          <w:bCs/>
          <w:spacing w:val="-4"/>
        </w:rPr>
        <w:t>Klauzula daty stempla bankowego lub pocztowego</w:t>
      </w:r>
      <w:r>
        <w:rPr>
          <w:rFonts w:ascii="Arial" w:hAnsi="Arial" w:cs="Arial"/>
          <w:spacing w:val="-4"/>
        </w:rPr>
        <w:t xml:space="preserve"> – bez względu na postanowienia ogólnych bądź szczególnych warunków ubezpieczenia, strony umowy ubezpieczenia uzgodniły, że:</w:t>
      </w:r>
    </w:p>
    <w:p w14:paraId="67E6177A" w14:textId="77777777" w:rsidR="00FE46C6" w:rsidRDefault="00000000">
      <w:pPr>
        <w:widowControl w:val="0"/>
        <w:spacing w:line="360" w:lineRule="auto"/>
        <w:rPr>
          <w:rFonts w:ascii="Arial" w:hAnsi="Arial" w:cs="Arial"/>
          <w:spacing w:val="-4"/>
        </w:rPr>
      </w:pPr>
      <w:r>
        <w:rPr>
          <w:rFonts w:ascii="Arial" w:hAnsi="Arial" w:cs="Arial"/>
          <w:spacing w:val="-4"/>
        </w:rPr>
        <w:t>Za datę prawidłowego opłacenia składki ubezpieczeniowej uznaje się datę stempla bankowego lub pocztowego, uwidocznioną na przelewie bankowym lub pocztowym, pod warunkiem, że w chwili zlecenia przelewu bankowego na koncie ubezpieczającego znajdowały się wystarczające środki finansowe.</w:t>
      </w:r>
    </w:p>
    <w:p w14:paraId="011FA194" w14:textId="77777777" w:rsidR="00FE46C6" w:rsidRDefault="00000000">
      <w:pPr>
        <w:widowControl w:val="0"/>
        <w:spacing w:before="120" w:line="360" w:lineRule="auto"/>
      </w:pPr>
      <w:r>
        <w:rPr>
          <w:rFonts w:ascii="Arial" w:hAnsi="Arial" w:cs="Arial"/>
          <w:b/>
          <w:bCs/>
          <w:spacing w:val="-4"/>
        </w:rPr>
        <w:t>Klauzula zbycia przedmiotu ubezpieczenia</w:t>
      </w:r>
      <w:r>
        <w:rPr>
          <w:rFonts w:ascii="Arial" w:hAnsi="Arial" w:cs="Arial"/>
          <w:spacing w:val="-4"/>
        </w:rPr>
        <w:t xml:space="preserve"> – bez względu na postanowienia ogólnych bądź szczególnych warunków ubezpieczenia, strony umowy ubezpieczenia uzgodniły, że:</w:t>
      </w:r>
    </w:p>
    <w:p w14:paraId="358660B7" w14:textId="77777777" w:rsidR="00FE46C6" w:rsidRDefault="00000000">
      <w:pPr>
        <w:pStyle w:val="Akapitzlist"/>
        <w:widowControl w:val="0"/>
        <w:numPr>
          <w:ilvl w:val="0"/>
          <w:numId w:val="26"/>
        </w:numPr>
        <w:spacing w:line="360" w:lineRule="auto"/>
        <w:ind w:left="284" w:hanging="284"/>
        <w:contextualSpacing/>
        <w:rPr>
          <w:rFonts w:ascii="Arial" w:hAnsi="Arial" w:cs="Arial"/>
          <w:spacing w:val="-4"/>
        </w:rPr>
      </w:pPr>
      <w:r>
        <w:rPr>
          <w:rFonts w:ascii="Arial" w:hAnsi="Arial" w:cs="Arial"/>
          <w:spacing w:val="-4"/>
        </w:rPr>
        <w:t>W braku odmiennego stanowiska Zamawiającego przekazanego do Wykonawcy, w przypadku zbycia przedmiotu ubezpieczenia (np. w związku z przewłaszczeniem na zabezpie</w:t>
      </w:r>
      <w:r>
        <w:rPr>
          <w:rFonts w:ascii="Arial" w:hAnsi="Arial" w:cs="Arial"/>
          <w:spacing w:val="-4"/>
        </w:rPr>
        <w:softHyphen/>
        <w:t>czenie), umowa ubezpieczenia nie wygasa zgodnie z art. 823 §1 Kodeksu cywilnego, zaś prawa z umowy ubezpieczenia przechodzą na nabywcę przedmiotu ubezpieczenia.</w:t>
      </w:r>
    </w:p>
    <w:p w14:paraId="7F391DED" w14:textId="77777777" w:rsidR="00FE46C6" w:rsidRDefault="00000000">
      <w:pPr>
        <w:pStyle w:val="Akapitzlist"/>
        <w:widowControl w:val="0"/>
        <w:numPr>
          <w:ilvl w:val="0"/>
          <w:numId w:val="25"/>
        </w:numPr>
        <w:spacing w:line="360" w:lineRule="auto"/>
        <w:ind w:left="284" w:hanging="284"/>
        <w:contextualSpacing/>
        <w:rPr>
          <w:rFonts w:ascii="Arial" w:hAnsi="Arial" w:cs="Arial"/>
          <w:spacing w:val="-4"/>
        </w:rPr>
      </w:pPr>
      <w:r>
        <w:rPr>
          <w:rFonts w:ascii="Arial" w:hAnsi="Arial" w:cs="Arial"/>
          <w:spacing w:val="-4"/>
        </w:rPr>
        <w:lastRenderedPageBreak/>
        <w:t>Jeżeli umowa ubezpieczenia nie wygasła na podstawie ust. 1 niniejszej klauzuli, nie wygasa ona także w przypadku powrotnego przejścia własności na Zamawiającego.</w:t>
      </w:r>
    </w:p>
    <w:p w14:paraId="4D3E0369" w14:textId="77777777" w:rsidR="00FE46C6" w:rsidRDefault="00000000">
      <w:pPr>
        <w:widowControl w:val="0"/>
        <w:spacing w:before="120" w:line="360" w:lineRule="auto"/>
      </w:pPr>
      <w:r>
        <w:rPr>
          <w:rFonts w:ascii="Arial" w:hAnsi="Arial" w:cs="Arial"/>
          <w:b/>
          <w:bCs/>
          <w:spacing w:val="-4"/>
        </w:rPr>
        <w:t>Klauzula czasu ochrony</w:t>
      </w:r>
      <w:r>
        <w:rPr>
          <w:rFonts w:ascii="Arial" w:hAnsi="Arial" w:cs="Arial"/>
          <w:spacing w:val="-4"/>
        </w:rPr>
        <w:t xml:space="preserve"> – bez względu na postanowienia ogólnych bądź szczególnych warunków ubezpieczenia, strony umowy ubezpieczenia uzgodniły, że:</w:t>
      </w:r>
    </w:p>
    <w:p w14:paraId="5F15A5CA" w14:textId="77777777" w:rsidR="00FE46C6" w:rsidRDefault="00000000">
      <w:pPr>
        <w:widowControl w:val="0"/>
        <w:spacing w:line="360" w:lineRule="auto"/>
        <w:rPr>
          <w:rFonts w:ascii="Arial" w:hAnsi="Arial" w:cs="Arial"/>
          <w:spacing w:val="-4"/>
        </w:rPr>
      </w:pPr>
      <w:r>
        <w:rPr>
          <w:rFonts w:ascii="Arial" w:hAnsi="Arial" w:cs="Arial"/>
          <w:spacing w:val="-4"/>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 razie braku zapłaty wyżej wymienionej należności Wykonawca po upływie terminu wezwie Zamawiającego do zapłaty z zagrożeniem, że brak zapłaty w wyznaczonym terminie, nie krótszym jednak niż 7 dni od dnia otrzymania wezwania, spowoduje ustanie odpowiedzialności Wykonawcy. </w:t>
      </w:r>
    </w:p>
    <w:p w14:paraId="5C861DA2" w14:textId="77777777" w:rsidR="00FE46C6" w:rsidRDefault="00000000">
      <w:pPr>
        <w:widowControl w:val="0"/>
        <w:spacing w:before="120" w:line="360" w:lineRule="auto"/>
      </w:pPr>
      <w:r>
        <w:rPr>
          <w:rFonts w:ascii="Arial" w:hAnsi="Arial" w:cs="Arial"/>
          <w:b/>
          <w:bCs/>
          <w:spacing w:val="-4"/>
        </w:rPr>
        <w:t>Klauzula nieściągania rat niewymagalnych</w:t>
      </w:r>
      <w:r>
        <w:rPr>
          <w:rFonts w:ascii="Arial" w:hAnsi="Arial" w:cs="Arial"/>
          <w:spacing w:val="-4"/>
        </w:rPr>
        <w:t xml:space="preserve"> – bez względu na postanowienia ogólnych bądź szczególnych warunków ubezpieczenia, strony umowy ubezpieczenia uzgodniły, że:</w:t>
      </w:r>
    </w:p>
    <w:p w14:paraId="202BB53B" w14:textId="77777777" w:rsidR="00FE46C6" w:rsidRDefault="00000000">
      <w:pPr>
        <w:widowControl w:val="0"/>
        <w:spacing w:line="360" w:lineRule="auto"/>
        <w:rPr>
          <w:rFonts w:ascii="Arial" w:hAnsi="Arial" w:cs="Arial"/>
          <w:spacing w:val="-4"/>
        </w:rPr>
      </w:pPr>
      <w:r>
        <w:rPr>
          <w:rFonts w:ascii="Arial" w:hAnsi="Arial" w:cs="Arial"/>
          <w:spacing w:val="-4"/>
        </w:rPr>
        <w:t>W przypadku wypłaty odszkodowania, Wykonawca nie potrąca z kwoty odszkodowania dla Zamawiającego rat jeszcze niewymagalnych oraz nie żąda zapłaty pozostałych rat. W przypadku wypłaty jakiegokolwiek odszkodowania Wykonawca zobowiązany jest do opłacenia pozostałych rat składki w uzgodnionych terminach i wysokości.</w:t>
      </w:r>
    </w:p>
    <w:p w14:paraId="47D4690E" w14:textId="77777777" w:rsidR="00FE46C6" w:rsidRDefault="00000000">
      <w:pPr>
        <w:widowControl w:val="0"/>
        <w:spacing w:before="120" w:line="360" w:lineRule="auto"/>
      </w:pPr>
      <w:r>
        <w:rPr>
          <w:rFonts w:ascii="Arial" w:hAnsi="Arial" w:cs="Arial"/>
          <w:b/>
          <w:bCs/>
          <w:spacing w:val="-4"/>
        </w:rPr>
        <w:t xml:space="preserve">Klauzula uznania stanu zabezpieczeń </w:t>
      </w:r>
      <w:r>
        <w:rPr>
          <w:rFonts w:ascii="Arial" w:hAnsi="Arial" w:cs="Arial"/>
          <w:spacing w:val="-4"/>
        </w:rPr>
        <w:t>bez względu na postanowienia ogólnych bądź szczególnych warunków ubezpieczenia, strony umowy ubezpieczenia uzgodniły, że:</w:t>
      </w:r>
    </w:p>
    <w:p w14:paraId="3ACF2902" w14:textId="77777777" w:rsidR="00FE46C6" w:rsidRDefault="00000000">
      <w:pPr>
        <w:widowControl w:val="0"/>
        <w:spacing w:line="360" w:lineRule="auto"/>
        <w:rPr>
          <w:rFonts w:ascii="Arial" w:hAnsi="Arial" w:cs="Arial"/>
          <w:spacing w:val="-4"/>
        </w:rPr>
      </w:pPr>
      <w:r>
        <w:rPr>
          <w:rFonts w:ascii="Arial" w:hAnsi="Arial" w:cs="Arial"/>
          <w:spacing w:val="-4"/>
        </w:rPr>
        <w:t xml:space="preserve">Wykonawca oświadcza, że znany jest mu stan stosowanych przez Zamawiającego  zabezpieczeń </w:t>
      </w:r>
      <w:proofErr w:type="spellStart"/>
      <w:r>
        <w:rPr>
          <w:rFonts w:ascii="Arial" w:hAnsi="Arial" w:cs="Arial"/>
          <w:spacing w:val="-4"/>
        </w:rPr>
        <w:t>przeciwkradzieżowych</w:t>
      </w:r>
      <w:proofErr w:type="spellEnd"/>
      <w:r>
        <w:rPr>
          <w:rFonts w:ascii="Arial" w:hAnsi="Arial" w:cs="Arial"/>
          <w:spacing w:val="-4"/>
        </w:rPr>
        <w:t xml:space="preserve"> i uznaje go za wystarczający i spełniający warunki do uzyskania ochrony ubezpieczeniowej oraz nie będzie podnosił tej kwestii w przypadku szkody.</w:t>
      </w:r>
    </w:p>
    <w:p w14:paraId="38651349" w14:textId="77777777" w:rsidR="00FE46C6" w:rsidRDefault="00000000">
      <w:pPr>
        <w:widowControl w:val="0"/>
        <w:spacing w:before="120" w:line="360" w:lineRule="auto"/>
      </w:pPr>
      <w:bookmarkStart w:id="20" w:name="_Hlk107315534"/>
      <w:r>
        <w:rPr>
          <w:rFonts w:ascii="Arial" w:hAnsi="Arial" w:cs="Arial"/>
          <w:b/>
          <w:bCs/>
          <w:spacing w:val="-4"/>
        </w:rPr>
        <w:t>Klauzula wynagrodzenia rzeczoznawców i ekspertów</w:t>
      </w:r>
      <w:r>
        <w:rPr>
          <w:rFonts w:ascii="Arial" w:hAnsi="Arial" w:cs="Arial"/>
          <w:spacing w:val="-4"/>
        </w:rPr>
        <w:t xml:space="preserve"> </w:t>
      </w:r>
      <w:bookmarkEnd w:id="20"/>
      <w:r>
        <w:rPr>
          <w:rFonts w:ascii="Arial" w:hAnsi="Arial" w:cs="Arial"/>
          <w:spacing w:val="-4"/>
        </w:rPr>
        <w:t>– bez względu na postanowienia ogólnych bądź szczególnych warunków ubezpieczenia, strony umowy ubezpieczenia uzgodniły, że:</w:t>
      </w:r>
    </w:p>
    <w:p w14:paraId="18A19E08" w14:textId="77777777" w:rsidR="00FE46C6" w:rsidRDefault="00000000">
      <w:pPr>
        <w:widowControl w:val="0"/>
        <w:spacing w:line="360" w:lineRule="auto"/>
        <w:rPr>
          <w:rFonts w:ascii="Arial" w:hAnsi="Arial" w:cs="Arial"/>
          <w:spacing w:val="-4"/>
        </w:rPr>
      </w:pPr>
      <w:r>
        <w:rPr>
          <w:rFonts w:ascii="Arial" w:hAnsi="Arial" w:cs="Arial"/>
          <w:spacing w:val="-4"/>
        </w:rPr>
        <w:t>Wykonawca dodatkowo obejmuje ochroną ubezpieczeniową poniesione przez Zamawiającego konieczne, uzasadnione i udokumentowane koszty ekspertyz rzeczoznawców bądź ekspertów związane z ustaleniem faktycznego zakresu i rozmiaru szkody oraz sposobu jej naprawienia.</w:t>
      </w:r>
    </w:p>
    <w:p w14:paraId="0B384977" w14:textId="77777777" w:rsidR="00FE46C6" w:rsidRDefault="00000000">
      <w:pPr>
        <w:widowControl w:val="0"/>
        <w:spacing w:line="360" w:lineRule="auto"/>
        <w:rPr>
          <w:rFonts w:ascii="Arial" w:hAnsi="Arial" w:cs="Arial"/>
          <w:spacing w:val="-8"/>
        </w:rPr>
      </w:pPr>
      <w:r>
        <w:rPr>
          <w:rFonts w:ascii="Arial" w:hAnsi="Arial" w:cs="Arial"/>
          <w:spacing w:val="-8"/>
        </w:rPr>
        <w:t>Limit odpowiedzialności wynosi 50 000,00 zł na jedno i wszystkie zdarzenia w każdym okresie ubezpieczenia.</w:t>
      </w:r>
    </w:p>
    <w:p w14:paraId="09670252" w14:textId="253E327F" w:rsidR="00FE46C6" w:rsidRDefault="00000000">
      <w:pPr>
        <w:pStyle w:val="Default"/>
        <w:spacing w:before="120" w:line="360" w:lineRule="auto"/>
      </w:pPr>
      <w:bookmarkStart w:id="21" w:name="_Toc61508010"/>
      <w:bookmarkStart w:id="22" w:name="_Toc61868322"/>
      <w:r>
        <w:rPr>
          <w:rFonts w:ascii="Arial" w:eastAsia="Calibri" w:hAnsi="Arial" w:cs="Arial"/>
          <w:b/>
          <w:color w:val="auto"/>
          <w:lang w:eastAsia="en-US"/>
        </w:rPr>
        <w:lastRenderedPageBreak/>
        <w:t xml:space="preserve">Klauzula gwarantowanej sumy ubezpieczenia autocasco - </w:t>
      </w:r>
      <w:r>
        <w:rPr>
          <w:rFonts w:ascii="Arial" w:hAnsi="Arial" w:cs="Arial"/>
          <w:iCs/>
          <w:color w:val="auto"/>
        </w:rPr>
        <w:t>z zachowaniem pozostałych, niezmienionych niniejsza klauzulą, postanowień umowy ubezpieczenia określonych we wniosku i ogólnych warunkach ubezpieczenia strony uzgodniły, że w</w:t>
      </w:r>
      <w:r>
        <w:rPr>
          <w:rFonts w:ascii="Arial" w:hAnsi="Arial" w:cs="Arial"/>
          <w:lang w:eastAsia="pl-PL"/>
        </w:rPr>
        <w:t xml:space="preserve"> </w:t>
      </w:r>
      <w:r w:rsidRPr="0023716E">
        <w:rPr>
          <w:rFonts w:ascii="Arial" w:hAnsi="Arial" w:cs="Arial"/>
          <w:lang w:eastAsia="pl-PL"/>
        </w:rPr>
        <w:t xml:space="preserve">odniesieniu do pojazdów </w:t>
      </w:r>
      <w:r w:rsidR="00460B1F" w:rsidRPr="0023716E">
        <w:rPr>
          <w:rFonts w:ascii="Arial" w:hAnsi="Arial" w:cs="Arial"/>
          <w:lang w:eastAsia="pl-PL"/>
        </w:rPr>
        <w:t>podlegających ubezpieczeniu</w:t>
      </w:r>
      <w:r w:rsidRPr="0023716E">
        <w:rPr>
          <w:rFonts w:ascii="Arial" w:hAnsi="Arial" w:cs="Arial"/>
          <w:lang w:eastAsia="pl-PL"/>
        </w:rPr>
        <w:t xml:space="preserve"> ustala się niezmienność sumy ubezpieczenia przez cały roczny okres ubezpieczenia, określone</w:t>
      </w:r>
      <w:r w:rsidR="00460B1F" w:rsidRPr="0023716E">
        <w:rPr>
          <w:rFonts w:ascii="Arial" w:hAnsi="Arial" w:cs="Arial"/>
          <w:lang w:eastAsia="pl-PL"/>
        </w:rPr>
        <w:t>j wg wskazanej wartości przez Zamawiającego</w:t>
      </w:r>
      <w:r w:rsidRPr="0023716E">
        <w:rPr>
          <w:rFonts w:ascii="Arial" w:hAnsi="Arial" w:cs="Arial"/>
          <w:i/>
          <w:iCs/>
          <w:lang w:eastAsia="pl-PL"/>
        </w:rPr>
        <w:t xml:space="preserve"> (bez podatku VAT)</w:t>
      </w:r>
      <w:r w:rsidRPr="0023716E">
        <w:rPr>
          <w:rFonts w:ascii="Arial" w:hAnsi="Arial" w:cs="Arial"/>
          <w:b/>
          <w:bCs/>
          <w:lang w:eastAsia="pl-PL"/>
        </w:rPr>
        <w:t xml:space="preserve"> </w:t>
      </w:r>
      <w:r w:rsidRPr="0023716E">
        <w:rPr>
          <w:rFonts w:ascii="Arial" w:hAnsi="Arial" w:cs="Arial"/>
          <w:lang w:eastAsia="pl-PL"/>
        </w:rPr>
        <w:t xml:space="preserve">dla pojazdów </w:t>
      </w:r>
      <w:r w:rsidR="00460B1F">
        <w:rPr>
          <w:rFonts w:ascii="Arial" w:hAnsi="Arial" w:cs="Arial"/>
          <w:lang w:eastAsia="pl-PL"/>
        </w:rPr>
        <w:t>podlegających ubezpieczeniu</w:t>
      </w:r>
      <w:r>
        <w:rPr>
          <w:rFonts w:ascii="Arial" w:hAnsi="Arial" w:cs="Arial"/>
          <w:lang w:eastAsia="pl-PL"/>
        </w:rPr>
        <w:t xml:space="preserve">, która będzie podstawą wyliczania odszkodowania przy szkodach całkowitych – dotyczy również utraty pojazdu w wyniku kradzieży - </w:t>
      </w:r>
      <w:r>
        <w:rPr>
          <w:rFonts w:ascii="Arial" w:hAnsi="Arial" w:cs="Arial"/>
          <w:i/>
          <w:iCs/>
          <w:lang w:eastAsia="pl-PL"/>
        </w:rPr>
        <w:t>wartość pojazdu netto</w:t>
      </w:r>
      <w:r w:rsidR="00460B1F">
        <w:rPr>
          <w:rFonts w:ascii="Arial" w:hAnsi="Arial" w:cs="Arial"/>
          <w:i/>
          <w:iCs/>
          <w:lang w:eastAsia="pl-PL"/>
        </w:rPr>
        <w:t xml:space="preserve"> </w:t>
      </w:r>
      <w:r>
        <w:rPr>
          <w:rFonts w:ascii="Arial" w:hAnsi="Arial" w:cs="Arial"/>
          <w:i/>
          <w:iCs/>
          <w:lang w:eastAsia="pl-PL"/>
        </w:rPr>
        <w:t>(bez podatku VAT</w:t>
      </w:r>
      <w:r>
        <w:rPr>
          <w:rFonts w:ascii="Arial" w:hAnsi="Arial" w:cs="Arial"/>
          <w:lang w:eastAsia="pl-PL"/>
        </w:rPr>
        <w:t>)</w:t>
      </w:r>
      <w:r w:rsidR="00460B1F">
        <w:rPr>
          <w:rFonts w:ascii="Arial" w:hAnsi="Arial" w:cs="Arial"/>
          <w:lang w:eastAsia="pl-PL"/>
        </w:rPr>
        <w:t xml:space="preserve"> wskazana przez Zamawiającego</w:t>
      </w:r>
      <w:r>
        <w:rPr>
          <w:rFonts w:ascii="Arial" w:hAnsi="Arial" w:cs="Arial"/>
          <w:lang w:eastAsia="pl-PL"/>
        </w:rPr>
        <w:t xml:space="preserve">. </w:t>
      </w:r>
    </w:p>
    <w:p w14:paraId="4FD0BE15" w14:textId="77777777" w:rsidR="00FE46C6" w:rsidRDefault="00FE46C6">
      <w:pPr>
        <w:spacing w:line="360" w:lineRule="auto"/>
        <w:rPr>
          <w:rFonts w:ascii="Arial" w:hAnsi="Arial" w:cs="Arial"/>
          <w:b/>
          <w:bCs/>
          <w:kern w:val="3"/>
        </w:rPr>
      </w:pPr>
    </w:p>
    <w:p w14:paraId="1619119C" w14:textId="77777777" w:rsidR="00FE46C6" w:rsidRDefault="00FE46C6">
      <w:pPr>
        <w:spacing w:line="360" w:lineRule="auto"/>
        <w:rPr>
          <w:rFonts w:ascii="Arial" w:hAnsi="Arial" w:cs="Arial"/>
          <w:b/>
          <w:bCs/>
          <w:kern w:val="3"/>
        </w:rPr>
      </w:pPr>
    </w:p>
    <w:p w14:paraId="5AC54950" w14:textId="77777777" w:rsidR="00FE46C6" w:rsidRDefault="00FE46C6">
      <w:pPr>
        <w:spacing w:line="360" w:lineRule="auto"/>
        <w:rPr>
          <w:rFonts w:ascii="Arial" w:hAnsi="Arial" w:cs="Arial"/>
          <w:b/>
          <w:bCs/>
          <w:kern w:val="3"/>
        </w:rPr>
      </w:pPr>
    </w:p>
    <w:p w14:paraId="5D9A7261" w14:textId="77777777" w:rsidR="00FE46C6" w:rsidRDefault="00FE46C6">
      <w:pPr>
        <w:spacing w:line="360" w:lineRule="auto"/>
        <w:rPr>
          <w:rFonts w:ascii="Arial" w:hAnsi="Arial" w:cs="Arial"/>
          <w:b/>
          <w:bCs/>
          <w:kern w:val="3"/>
        </w:rPr>
      </w:pPr>
    </w:p>
    <w:p w14:paraId="0922D7CC" w14:textId="77777777" w:rsidR="00FE46C6" w:rsidRDefault="00FE46C6">
      <w:pPr>
        <w:spacing w:line="360" w:lineRule="auto"/>
        <w:rPr>
          <w:rFonts w:ascii="Arial" w:hAnsi="Arial" w:cs="Arial"/>
          <w:b/>
          <w:bCs/>
          <w:kern w:val="3"/>
        </w:rPr>
      </w:pPr>
    </w:p>
    <w:p w14:paraId="18BD5772" w14:textId="77777777" w:rsidR="00FE46C6" w:rsidRDefault="00FE46C6">
      <w:pPr>
        <w:spacing w:line="360" w:lineRule="auto"/>
        <w:rPr>
          <w:rFonts w:ascii="Arial" w:hAnsi="Arial" w:cs="Arial"/>
          <w:b/>
          <w:bCs/>
          <w:kern w:val="3"/>
        </w:rPr>
      </w:pPr>
    </w:p>
    <w:p w14:paraId="32D07BF1" w14:textId="77777777" w:rsidR="00FE46C6" w:rsidRDefault="00FE46C6">
      <w:pPr>
        <w:spacing w:line="360" w:lineRule="auto"/>
        <w:rPr>
          <w:rFonts w:ascii="Arial" w:hAnsi="Arial" w:cs="Arial"/>
          <w:b/>
          <w:bCs/>
          <w:kern w:val="3"/>
        </w:rPr>
      </w:pPr>
    </w:p>
    <w:p w14:paraId="032FA9FE" w14:textId="77777777" w:rsidR="00FE46C6" w:rsidRDefault="00FE46C6">
      <w:pPr>
        <w:spacing w:line="360" w:lineRule="auto"/>
        <w:rPr>
          <w:rFonts w:ascii="Arial" w:hAnsi="Arial" w:cs="Arial"/>
          <w:b/>
          <w:bCs/>
          <w:kern w:val="3"/>
        </w:rPr>
      </w:pPr>
    </w:p>
    <w:p w14:paraId="569915CB" w14:textId="77777777" w:rsidR="00FE46C6" w:rsidRDefault="00FE46C6">
      <w:pPr>
        <w:spacing w:line="360" w:lineRule="auto"/>
        <w:rPr>
          <w:rFonts w:ascii="Arial" w:hAnsi="Arial" w:cs="Arial"/>
          <w:b/>
          <w:bCs/>
          <w:kern w:val="3"/>
        </w:rPr>
      </w:pPr>
    </w:p>
    <w:p w14:paraId="49E5E025" w14:textId="77777777" w:rsidR="00FE46C6" w:rsidRDefault="00FE46C6">
      <w:pPr>
        <w:spacing w:line="360" w:lineRule="auto"/>
        <w:rPr>
          <w:rFonts w:ascii="Arial" w:hAnsi="Arial" w:cs="Arial"/>
          <w:b/>
          <w:bCs/>
          <w:kern w:val="3"/>
        </w:rPr>
      </w:pPr>
    </w:p>
    <w:p w14:paraId="12D4BC4B" w14:textId="77777777" w:rsidR="00FE46C6" w:rsidRDefault="00FE46C6">
      <w:pPr>
        <w:spacing w:line="360" w:lineRule="auto"/>
        <w:rPr>
          <w:rFonts w:ascii="Arial" w:hAnsi="Arial" w:cs="Arial"/>
          <w:b/>
          <w:bCs/>
          <w:kern w:val="3"/>
        </w:rPr>
      </w:pPr>
    </w:p>
    <w:p w14:paraId="06483C5A" w14:textId="77777777" w:rsidR="00FE46C6" w:rsidRDefault="00FE46C6">
      <w:pPr>
        <w:spacing w:line="360" w:lineRule="auto"/>
        <w:rPr>
          <w:rFonts w:ascii="Arial" w:hAnsi="Arial" w:cs="Arial"/>
          <w:b/>
          <w:bCs/>
          <w:kern w:val="3"/>
        </w:rPr>
      </w:pPr>
    </w:p>
    <w:p w14:paraId="1C3FF787" w14:textId="77777777" w:rsidR="00FE46C6" w:rsidRDefault="00FE46C6">
      <w:pPr>
        <w:spacing w:line="360" w:lineRule="auto"/>
        <w:rPr>
          <w:rFonts w:ascii="Arial" w:hAnsi="Arial" w:cs="Arial"/>
          <w:b/>
          <w:bCs/>
          <w:kern w:val="3"/>
        </w:rPr>
      </w:pPr>
    </w:p>
    <w:p w14:paraId="5D07BDAC" w14:textId="77777777" w:rsidR="00FE46C6" w:rsidRDefault="00FE46C6">
      <w:pPr>
        <w:spacing w:line="360" w:lineRule="auto"/>
        <w:rPr>
          <w:rFonts w:ascii="Arial" w:hAnsi="Arial" w:cs="Arial"/>
          <w:b/>
          <w:bCs/>
          <w:kern w:val="3"/>
        </w:rPr>
      </w:pPr>
    </w:p>
    <w:p w14:paraId="0D046234" w14:textId="77777777" w:rsidR="00FE46C6" w:rsidRDefault="00FE46C6">
      <w:pPr>
        <w:spacing w:line="360" w:lineRule="auto"/>
        <w:rPr>
          <w:rFonts w:ascii="Arial" w:hAnsi="Arial" w:cs="Arial"/>
          <w:b/>
          <w:bCs/>
          <w:kern w:val="3"/>
        </w:rPr>
      </w:pPr>
    </w:p>
    <w:p w14:paraId="7C381BE2" w14:textId="77777777" w:rsidR="00FE46C6" w:rsidRDefault="00FE46C6">
      <w:pPr>
        <w:spacing w:line="360" w:lineRule="auto"/>
        <w:rPr>
          <w:rFonts w:ascii="Arial" w:hAnsi="Arial" w:cs="Arial"/>
          <w:b/>
          <w:bCs/>
          <w:kern w:val="3"/>
        </w:rPr>
      </w:pPr>
    </w:p>
    <w:p w14:paraId="0F92B9BF" w14:textId="77777777" w:rsidR="00FE46C6" w:rsidRDefault="00FE46C6">
      <w:pPr>
        <w:spacing w:line="360" w:lineRule="auto"/>
        <w:rPr>
          <w:rFonts w:ascii="Arial" w:hAnsi="Arial" w:cs="Arial"/>
          <w:b/>
          <w:bCs/>
          <w:kern w:val="3"/>
        </w:rPr>
      </w:pPr>
    </w:p>
    <w:p w14:paraId="0AEC859E" w14:textId="77777777" w:rsidR="00FE46C6" w:rsidRDefault="00FE46C6">
      <w:pPr>
        <w:spacing w:line="360" w:lineRule="auto"/>
        <w:rPr>
          <w:rFonts w:ascii="Arial" w:hAnsi="Arial" w:cs="Arial"/>
          <w:b/>
          <w:bCs/>
          <w:kern w:val="3"/>
        </w:rPr>
      </w:pPr>
    </w:p>
    <w:p w14:paraId="2ECEBED7" w14:textId="77777777" w:rsidR="00FE46C6" w:rsidRDefault="00FE46C6">
      <w:pPr>
        <w:spacing w:line="360" w:lineRule="auto"/>
        <w:rPr>
          <w:rFonts w:ascii="Arial" w:hAnsi="Arial" w:cs="Arial"/>
          <w:b/>
          <w:bCs/>
          <w:kern w:val="3"/>
        </w:rPr>
      </w:pPr>
    </w:p>
    <w:p w14:paraId="4C7BF9AC" w14:textId="77777777" w:rsidR="00FE46C6" w:rsidRDefault="00FE46C6">
      <w:pPr>
        <w:spacing w:line="360" w:lineRule="auto"/>
        <w:rPr>
          <w:rFonts w:ascii="Arial" w:hAnsi="Arial" w:cs="Arial"/>
          <w:b/>
          <w:bCs/>
          <w:kern w:val="3"/>
        </w:rPr>
      </w:pPr>
    </w:p>
    <w:p w14:paraId="4B2624D5" w14:textId="77777777" w:rsidR="00FE46C6" w:rsidRDefault="00FE46C6">
      <w:pPr>
        <w:spacing w:line="360" w:lineRule="auto"/>
        <w:rPr>
          <w:rFonts w:ascii="Arial" w:hAnsi="Arial" w:cs="Arial"/>
          <w:b/>
          <w:bCs/>
          <w:kern w:val="3"/>
        </w:rPr>
      </w:pPr>
    </w:p>
    <w:p w14:paraId="115FE80F" w14:textId="77777777" w:rsidR="00FE46C6" w:rsidRDefault="00FE46C6">
      <w:pPr>
        <w:spacing w:line="360" w:lineRule="auto"/>
        <w:rPr>
          <w:rFonts w:ascii="Arial" w:hAnsi="Arial" w:cs="Arial"/>
          <w:b/>
          <w:bCs/>
          <w:kern w:val="3"/>
        </w:rPr>
      </w:pPr>
    </w:p>
    <w:p w14:paraId="27563169" w14:textId="77777777" w:rsidR="00FE46C6" w:rsidRDefault="00FE46C6">
      <w:pPr>
        <w:spacing w:line="360" w:lineRule="auto"/>
        <w:rPr>
          <w:rFonts w:ascii="Arial" w:hAnsi="Arial" w:cs="Arial"/>
          <w:b/>
          <w:bCs/>
          <w:kern w:val="3"/>
        </w:rPr>
      </w:pPr>
    </w:p>
    <w:p w14:paraId="30B25832" w14:textId="77777777" w:rsidR="00FE46C6" w:rsidRDefault="00FE46C6">
      <w:pPr>
        <w:spacing w:line="360" w:lineRule="auto"/>
        <w:rPr>
          <w:rFonts w:ascii="Arial" w:hAnsi="Arial" w:cs="Arial"/>
          <w:b/>
          <w:bCs/>
          <w:kern w:val="3"/>
        </w:rPr>
      </w:pPr>
    </w:p>
    <w:p w14:paraId="44EE41D7" w14:textId="77777777" w:rsidR="00FE46C6" w:rsidRDefault="00FE46C6">
      <w:pPr>
        <w:spacing w:line="360" w:lineRule="auto"/>
        <w:rPr>
          <w:rFonts w:ascii="Arial" w:hAnsi="Arial" w:cs="Arial"/>
          <w:b/>
          <w:bCs/>
          <w:kern w:val="3"/>
        </w:rPr>
      </w:pPr>
    </w:p>
    <w:p w14:paraId="31C4ED53" w14:textId="79764605" w:rsidR="00FE46C6" w:rsidRPr="007A5459" w:rsidRDefault="00000000" w:rsidP="003948FF">
      <w:pPr>
        <w:pStyle w:val="Nagwek1"/>
        <w:numPr>
          <w:ilvl w:val="0"/>
          <w:numId w:val="0"/>
        </w:numPr>
        <w:ind w:left="432"/>
        <w:rPr>
          <w:sz w:val="28"/>
          <w:szCs w:val="28"/>
        </w:rPr>
      </w:pPr>
      <w:r w:rsidRPr="007A5459">
        <w:rPr>
          <w:sz w:val="28"/>
          <w:szCs w:val="28"/>
        </w:rPr>
        <w:lastRenderedPageBreak/>
        <w:t xml:space="preserve">Załącznik </w:t>
      </w:r>
      <w:bookmarkEnd w:id="21"/>
      <w:bookmarkEnd w:id="22"/>
      <w:r w:rsidRPr="007A5459">
        <w:rPr>
          <w:sz w:val="28"/>
          <w:szCs w:val="28"/>
        </w:rPr>
        <w:t>nr 7</w:t>
      </w:r>
    </w:p>
    <w:p w14:paraId="6AD15D4B" w14:textId="77777777" w:rsidR="00FE46C6" w:rsidRDefault="00000000">
      <w:pPr>
        <w:spacing w:line="360" w:lineRule="auto"/>
      </w:pPr>
      <w:r>
        <w:rPr>
          <w:rFonts w:ascii="Arial" w:hAnsi="Arial" w:cs="Arial"/>
          <w:spacing w:val="-4"/>
        </w:rPr>
        <w:t>Szczegółowy opis przedmiotu zamówienia zawierający klauzule dodatkowe i inne postanowienia szczególne fakultatywne, dotyczący zamówienia.</w:t>
      </w:r>
    </w:p>
    <w:p w14:paraId="7CF505C5" w14:textId="77777777" w:rsidR="00FE46C6" w:rsidRDefault="00000000">
      <w:pPr>
        <w:tabs>
          <w:tab w:val="left" w:pos="1050"/>
        </w:tabs>
        <w:spacing w:before="240" w:line="360" w:lineRule="auto"/>
      </w:pPr>
      <w:r>
        <w:rPr>
          <w:rFonts w:ascii="Arial" w:hAnsi="Arial" w:cs="Arial"/>
          <w:b/>
          <w:bCs/>
        </w:rPr>
        <w:t xml:space="preserve">Uznanie za szkodę częściową uszkodzenie </w:t>
      </w:r>
      <w:r>
        <w:rPr>
          <w:rFonts w:ascii="Arial" w:hAnsi="Arial" w:cs="Arial"/>
        </w:rPr>
        <w:t>ubezpieczonego pojazdu w takim zakresie, że koszt jego naprawy nie przekracza 80% jego wartości rynkowej na dzień ustalania odszkodowania</w:t>
      </w:r>
    </w:p>
    <w:p w14:paraId="5EEB5C9D" w14:textId="77777777" w:rsidR="00FE46C6" w:rsidRDefault="00000000">
      <w:pPr>
        <w:widowControl w:val="0"/>
        <w:spacing w:before="120" w:line="360" w:lineRule="auto"/>
      </w:pPr>
      <w:r>
        <w:rPr>
          <w:rFonts w:ascii="Arial" w:hAnsi="Arial" w:cs="Arial"/>
          <w:b/>
          <w:bCs/>
          <w:spacing w:val="-4"/>
        </w:rPr>
        <w:t>Szkoda całkowita</w:t>
      </w:r>
      <w:r>
        <w:rPr>
          <w:rFonts w:ascii="Arial" w:hAnsi="Arial" w:cs="Arial"/>
          <w:spacing w:val="-4"/>
        </w:rPr>
        <w:t xml:space="preserve"> – szkoda, w wyniku której ubezpieczony pojazd uległ uszkodzeniu w takim stopniu, że koszty jego naprawy przekraczają 80% sumy ubezpieczenia (nie więcej jednak niż 80% wartości rynkowej pojazdu na dzień wyliczania odszkodowania).</w:t>
      </w:r>
    </w:p>
    <w:p w14:paraId="064CCB3B" w14:textId="77777777" w:rsidR="00FE46C6" w:rsidRDefault="00000000">
      <w:pPr>
        <w:pStyle w:val="Akapitzlist"/>
        <w:widowControl w:val="0"/>
        <w:numPr>
          <w:ilvl w:val="0"/>
          <w:numId w:val="28"/>
        </w:numPr>
        <w:spacing w:line="360" w:lineRule="auto"/>
        <w:ind w:left="284" w:hanging="284"/>
        <w:contextualSpacing/>
        <w:rPr>
          <w:rFonts w:ascii="Arial" w:hAnsi="Arial" w:cs="Arial"/>
          <w:spacing w:val="-4"/>
        </w:rPr>
      </w:pPr>
      <w:r>
        <w:rPr>
          <w:rFonts w:ascii="Arial" w:hAnsi="Arial" w:cs="Arial"/>
          <w:spacing w:val="-4"/>
        </w:rPr>
        <w:t>W przypadku zakwalifikowania przez Wykonawcę szkody jako całkowitej, Zamawiający, który zamierza mimo tego naprawić uszkodzony pojazd, ma prawo przedstawić Wykonawcy sporządzony przez wybrany przez siebie warsztat kosztorys naprawy, zgodny z zakresem uszkodzeń uznanych przez Wykonawcę. Jeżeli taki kosztorys będzie potwierdzał realny koszt naprawy (z uwzględnieniem zastosowania tzw. zamienników, tj. części zamiennych dystrybuo</w:t>
      </w:r>
      <w:r>
        <w:rPr>
          <w:rFonts w:ascii="Arial" w:hAnsi="Arial" w:cs="Arial"/>
          <w:spacing w:val="-4"/>
        </w:rPr>
        <w:softHyphen/>
        <w:t>wanych poza siecią oficjalnego producenta/importera, posiadających stosowna homologację oraz kosztu robocizny, określonego w kosztorysie), mieszczący się wartości rynkowej pojazdu na dzień wyliczania odszkodowania (nie wyższy jednak od sumy ubezpieczenia) Wykonawca wyrazi zgodę na dokonanie naprawy w warsztacie i pokryje jej koszt, pod warunkiem:</w:t>
      </w:r>
    </w:p>
    <w:p w14:paraId="4B1D41E4" w14:textId="77777777" w:rsidR="00FE46C6" w:rsidRDefault="00000000">
      <w:pPr>
        <w:pStyle w:val="Akapitzlist"/>
        <w:widowControl w:val="0"/>
        <w:numPr>
          <w:ilvl w:val="1"/>
          <w:numId w:val="27"/>
        </w:numPr>
        <w:spacing w:line="360" w:lineRule="auto"/>
        <w:ind w:left="567" w:hanging="283"/>
        <w:contextualSpacing/>
        <w:rPr>
          <w:rFonts w:ascii="Arial" w:hAnsi="Arial" w:cs="Arial"/>
          <w:spacing w:val="-8"/>
        </w:rPr>
      </w:pPr>
      <w:r>
        <w:rPr>
          <w:rFonts w:ascii="Arial" w:hAnsi="Arial" w:cs="Arial"/>
          <w:spacing w:val="-8"/>
        </w:rPr>
        <w:t>przedstawienia Wykonawcy faktury VAT za naprawę wraz z wyspecyfikowaniem kosztów naprawy, potwierdzającej zgodność naprawy z zakresem uszkodzeń uznanych przez Wykonawcę;</w:t>
      </w:r>
    </w:p>
    <w:p w14:paraId="3C75AF28" w14:textId="77777777" w:rsidR="00FE46C6" w:rsidRDefault="00000000">
      <w:pPr>
        <w:pStyle w:val="Akapitzlist"/>
        <w:widowControl w:val="0"/>
        <w:numPr>
          <w:ilvl w:val="1"/>
          <w:numId w:val="27"/>
        </w:numPr>
        <w:spacing w:line="360" w:lineRule="auto"/>
        <w:ind w:left="567" w:hanging="283"/>
        <w:contextualSpacing/>
        <w:rPr>
          <w:rFonts w:ascii="Arial" w:hAnsi="Arial" w:cs="Arial"/>
          <w:spacing w:val="-4"/>
        </w:rPr>
      </w:pPr>
      <w:r>
        <w:rPr>
          <w:rFonts w:ascii="Arial" w:hAnsi="Arial" w:cs="Arial"/>
          <w:spacing w:val="-4"/>
        </w:rPr>
        <w:t>przedstawienia naprawionego pojazdu na żądanie Wykonawcy w celu dokonania przez niego oględzin.</w:t>
      </w:r>
    </w:p>
    <w:p w14:paraId="09CD5785" w14:textId="77777777" w:rsidR="00FE46C6" w:rsidRDefault="00000000">
      <w:pPr>
        <w:pStyle w:val="Akapitzlist"/>
        <w:widowControl w:val="0"/>
        <w:numPr>
          <w:ilvl w:val="0"/>
          <w:numId w:val="27"/>
        </w:numPr>
        <w:spacing w:line="360" w:lineRule="auto"/>
        <w:ind w:left="284" w:hanging="284"/>
        <w:contextualSpacing/>
        <w:rPr>
          <w:rFonts w:ascii="Arial" w:hAnsi="Arial" w:cs="Arial"/>
          <w:spacing w:val="-6"/>
        </w:rPr>
      </w:pPr>
      <w:r>
        <w:rPr>
          <w:rFonts w:ascii="Arial" w:hAnsi="Arial" w:cs="Arial"/>
          <w:spacing w:val="-6"/>
        </w:rPr>
        <w:t>W razie stwierdzenia przez Wykonawcę niezgodności dokonanej naprawy z zakresem uznanych przez niego uszkodzeń, Wykonawca może odpowiednio skorygować wysokość należnego odszkodowania.</w:t>
      </w:r>
    </w:p>
    <w:p w14:paraId="25A32F75" w14:textId="77777777" w:rsidR="00FE46C6" w:rsidRDefault="00000000">
      <w:pPr>
        <w:pStyle w:val="Akapitzlist"/>
        <w:widowControl w:val="0"/>
        <w:numPr>
          <w:ilvl w:val="0"/>
          <w:numId w:val="27"/>
        </w:numPr>
        <w:spacing w:line="360" w:lineRule="auto"/>
        <w:ind w:left="284" w:hanging="284"/>
        <w:contextualSpacing/>
        <w:rPr>
          <w:rFonts w:ascii="Arial" w:hAnsi="Arial" w:cs="Arial"/>
          <w:spacing w:val="-4"/>
        </w:rPr>
      </w:pPr>
      <w:r>
        <w:rPr>
          <w:rFonts w:ascii="Arial" w:hAnsi="Arial" w:cs="Arial"/>
          <w:spacing w:val="-4"/>
        </w:rPr>
        <w:t>W przypadku, gdy faktyczny koszt naprawy przekroczy wartość rynkową pojazdu na dzień wyliczania odszkodowania (nie więcej jednak niż suma ubezpieczenia pojazdu) Wykonawca pokryje koszt naprawy wyłącznie do wartości rynkowej pojazdu i nie więcej, niż suma ubezpieczenia.</w:t>
      </w:r>
    </w:p>
    <w:p w14:paraId="00606071" w14:textId="77777777" w:rsidR="00FE46C6" w:rsidRDefault="00000000">
      <w:pPr>
        <w:widowControl w:val="0"/>
        <w:spacing w:before="120" w:line="360" w:lineRule="auto"/>
      </w:pPr>
      <w:r>
        <w:rPr>
          <w:rFonts w:ascii="Arial" w:hAnsi="Arial" w:cs="Arial"/>
          <w:b/>
          <w:bCs/>
          <w:spacing w:val="-4"/>
        </w:rPr>
        <w:t>Klauzula aktów terroryzmu</w:t>
      </w:r>
      <w:r>
        <w:rPr>
          <w:rFonts w:ascii="Arial" w:hAnsi="Arial" w:cs="Arial"/>
          <w:spacing w:val="-4"/>
        </w:rPr>
        <w:t xml:space="preserve"> – bez względu na postanowienia ogólnych bądź szczególnych warunków ubezpieczenia, strony umowy ubezpieczenia uzgodniły, że:</w:t>
      </w:r>
    </w:p>
    <w:p w14:paraId="0C6086BA" w14:textId="77777777" w:rsidR="00FE46C6" w:rsidRDefault="00000000">
      <w:pPr>
        <w:pStyle w:val="Akapitzlist"/>
        <w:widowControl w:val="0"/>
        <w:numPr>
          <w:ilvl w:val="0"/>
          <w:numId w:val="30"/>
        </w:numPr>
        <w:spacing w:line="360" w:lineRule="auto"/>
        <w:ind w:left="284" w:hanging="284"/>
        <w:contextualSpacing/>
        <w:rPr>
          <w:rFonts w:ascii="Arial" w:hAnsi="Arial" w:cs="Arial"/>
          <w:spacing w:val="-4"/>
        </w:rPr>
      </w:pPr>
      <w:r>
        <w:rPr>
          <w:rFonts w:ascii="Arial" w:hAnsi="Arial" w:cs="Arial"/>
          <w:spacing w:val="-4"/>
        </w:rPr>
        <w:lastRenderedPageBreak/>
        <w:t>Zakres ochrony ubezpieczeniowej zostaje rozszerzony o szkody powstałe w ubezpieczonym mieniu w wyniku pożaru, eksplozji, upadku statku powietrznego i akcji ratowniczej prowadzonej w związku z tymi zdarzeniami, gdy ryzyka te są bezpośrednim następstwem aktów terroryzmu, a także następstwem podpalenia lub podłożenia ładunków wybuchowych przez grupy przestępcze albo innych czynów kryminalnych.</w:t>
      </w:r>
    </w:p>
    <w:p w14:paraId="6E1D3F79" w14:textId="77777777" w:rsidR="00FE46C6" w:rsidRDefault="00000000">
      <w:pPr>
        <w:pStyle w:val="Akapitzlist"/>
        <w:widowControl w:val="0"/>
        <w:numPr>
          <w:ilvl w:val="0"/>
          <w:numId w:val="29"/>
        </w:numPr>
        <w:spacing w:line="360" w:lineRule="auto"/>
        <w:ind w:left="284" w:hanging="284"/>
        <w:contextualSpacing/>
        <w:rPr>
          <w:rFonts w:ascii="Arial" w:hAnsi="Arial" w:cs="Arial"/>
          <w:spacing w:val="-4"/>
        </w:rPr>
      </w:pPr>
      <w:r>
        <w:rPr>
          <w:rFonts w:ascii="Arial" w:hAnsi="Arial" w:cs="Arial"/>
          <w:spacing w:val="-4"/>
        </w:rPr>
        <w:t>Przez akty terroryzmu rozumie się działanie jakiejkolwiek osoby w imieniu lub w powiązaniu z jakąkolwiek organizacją występującą w celu obalenia rządu lub wywarcia na niego wpływu (de iure lub de facto) przy użyciu siły albo przemocy.</w:t>
      </w:r>
    </w:p>
    <w:p w14:paraId="7318EC1F" w14:textId="77777777" w:rsidR="00FE46C6" w:rsidRDefault="00000000">
      <w:pPr>
        <w:pStyle w:val="Akapitzlist"/>
        <w:widowControl w:val="0"/>
        <w:numPr>
          <w:ilvl w:val="0"/>
          <w:numId w:val="29"/>
        </w:numPr>
        <w:spacing w:line="360" w:lineRule="auto"/>
        <w:ind w:left="284" w:hanging="284"/>
        <w:contextualSpacing/>
        <w:rPr>
          <w:rFonts w:ascii="Arial" w:hAnsi="Arial" w:cs="Arial"/>
          <w:spacing w:val="-10"/>
        </w:rPr>
      </w:pPr>
      <w:r>
        <w:rPr>
          <w:rFonts w:ascii="Arial" w:hAnsi="Arial" w:cs="Arial"/>
          <w:spacing w:val="-10"/>
        </w:rPr>
        <w:t>Limit odpowiedzialności wynosi 1 000 000,00 zł na jedno i wszystkie zdarzenia w każdym rocznym okresie ubezpieczenia.</w:t>
      </w:r>
    </w:p>
    <w:p w14:paraId="1E2756D4" w14:textId="77777777" w:rsidR="00FE46C6" w:rsidRDefault="00000000">
      <w:pPr>
        <w:autoSpaceDE w:val="0"/>
        <w:spacing w:before="240" w:after="19" w:line="360" w:lineRule="auto"/>
      </w:pPr>
      <w:r>
        <w:rPr>
          <w:rFonts w:ascii="Arial" w:hAnsi="Arial" w:cs="Arial"/>
          <w:b/>
          <w:bCs/>
        </w:rPr>
        <w:t xml:space="preserve">Przyjęcie odpowiedzialności za szkody z ubezpieczenia auto casco powstałe podczas kierowania pojazdem w stanie nietrzeźwości </w:t>
      </w:r>
      <w:r>
        <w:rPr>
          <w:rFonts w:ascii="Arial" w:hAnsi="Arial" w:cs="Arial"/>
        </w:rPr>
        <w:t>albo po spożyciu alkoholu, lub pod wpływem środków odurzających, substancji psychotropowych lub środków zastępczych w rozumieniu przepisów o przeciwdziałaniu narkomanii. Limit – jedno zdarzenie w każdym rocznym okresie ubezpieczenia.</w:t>
      </w:r>
    </w:p>
    <w:p w14:paraId="663AB657" w14:textId="77777777" w:rsidR="00FE46C6" w:rsidRDefault="00000000">
      <w:pPr>
        <w:widowControl w:val="0"/>
        <w:spacing w:before="240" w:line="360" w:lineRule="auto"/>
      </w:pPr>
      <w:bookmarkStart w:id="23" w:name="_Hlk46915034"/>
      <w:r>
        <w:rPr>
          <w:rFonts w:ascii="Arial" w:hAnsi="Arial" w:cs="Arial"/>
          <w:b/>
          <w:bCs/>
          <w:spacing w:val="-4"/>
        </w:rPr>
        <w:t xml:space="preserve">Klauzula ubezpieczenia pojazdu niezabezpieczonego </w:t>
      </w:r>
      <w:r>
        <w:rPr>
          <w:rFonts w:ascii="Arial" w:hAnsi="Arial" w:cs="Arial"/>
          <w:spacing w:val="-4"/>
        </w:rPr>
        <w:t>– bez względu na postanowienia ogólnych bądź szczególnych warunków ubezpieczenia, strony umowy ubezpieczenia uzgodniły, że:</w:t>
      </w:r>
    </w:p>
    <w:p w14:paraId="757211B3" w14:textId="77777777" w:rsidR="00FE46C6" w:rsidRDefault="00000000">
      <w:pPr>
        <w:widowControl w:val="0"/>
        <w:spacing w:line="360" w:lineRule="auto"/>
        <w:rPr>
          <w:rFonts w:ascii="Arial" w:hAnsi="Arial" w:cs="Arial"/>
          <w:spacing w:val="-4"/>
        </w:rPr>
      </w:pPr>
      <w:r>
        <w:rPr>
          <w:rFonts w:ascii="Arial" w:hAnsi="Arial" w:cs="Arial"/>
          <w:spacing w:val="-4"/>
        </w:rPr>
        <w:t xml:space="preserve">Rozszerza się ochronę ubezpieczeniową o szkody powstałe na skutek kradzieży części lub wyposażenia pojazdu, zabrania pojazdu w celu krótkotrwałego użycia lub kradzieży pojazdu, gdy: </w:t>
      </w:r>
    </w:p>
    <w:p w14:paraId="341E0806" w14:textId="77777777" w:rsidR="00FE46C6" w:rsidRDefault="00000000">
      <w:pPr>
        <w:pStyle w:val="Akapitzlist"/>
        <w:widowControl w:val="0"/>
        <w:numPr>
          <w:ilvl w:val="0"/>
          <w:numId w:val="32"/>
        </w:numPr>
        <w:spacing w:line="360" w:lineRule="auto"/>
        <w:ind w:left="284" w:hanging="284"/>
        <w:contextualSpacing/>
      </w:pPr>
      <w:r>
        <w:rPr>
          <w:rFonts w:ascii="Arial" w:hAnsi="Arial" w:cs="Arial"/>
          <w:spacing w:val="-6"/>
        </w:rPr>
        <w:t>pozostawiono w pojeździe dokumenty (dowód rejestracyjny lub kartę pojazdu) lub kluczyki, lub sterowniki służące do otwarcia, lub uruchomienia pojazdu, lub uruchomienia urządzeń zabezpieczających pojazd przed kradzieżą; /</w:t>
      </w:r>
      <w:r>
        <w:rPr>
          <w:rFonts w:ascii="Arial" w:hAnsi="Arial" w:cs="Arial"/>
          <w:spacing w:val="-4"/>
        </w:rPr>
        <w:t>lub</w:t>
      </w:r>
    </w:p>
    <w:p w14:paraId="7F269BBA" w14:textId="77777777" w:rsidR="00FE46C6" w:rsidRDefault="00000000">
      <w:pPr>
        <w:pStyle w:val="Akapitzlist"/>
        <w:widowControl w:val="0"/>
        <w:numPr>
          <w:ilvl w:val="0"/>
          <w:numId w:val="31"/>
        </w:numPr>
        <w:spacing w:line="360" w:lineRule="auto"/>
        <w:ind w:left="284" w:hanging="284"/>
        <w:contextualSpacing/>
        <w:rPr>
          <w:rFonts w:ascii="Arial" w:hAnsi="Arial" w:cs="Arial"/>
          <w:spacing w:val="-4"/>
        </w:rPr>
      </w:pPr>
      <w:r>
        <w:rPr>
          <w:rFonts w:ascii="Arial" w:hAnsi="Arial" w:cs="Arial"/>
          <w:spacing w:val="-4"/>
        </w:rPr>
        <w:t>nie uruchomiono wszystkich wymaganych urządzeń zabezpieczających pojazd przed kradzieżą.</w:t>
      </w:r>
    </w:p>
    <w:bookmarkEnd w:id="23"/>
    <w:p w14:paraId="07312EB4" w14:textId="77777777" w:rsidR="00FE46C6" w:rsidRDefault="00000000">
      <w:pPr>
        <w:widowControl w:val="0"/>
        <w:spacing w:before="240" w:line="360" w:lineRule="auto"/>
      </w:pPr>
      <w:r>
        <w:rPr>
          <w:rFonts w:ascii="Arial" w:hAnsi="Arial" w:cs="Arial"/>
          <w:b/>
          <w:bCs/>
          <w:spacing w:val="-4"/>
        </w:rPr>
        <w:t>Klauzula funduszu prewencyjnego</w:t>
      </w:r>
      <w:r>
        <w:rPr>
          <w:rFonts w:ascii="Arial" w:hAnsi="Arial" w:cs="Arial"/>
          <w:spacing w:val="-4"/>
        </w:rPr>
        <w:t xml:space="preserve"> – bez względu na postanowienia ogólnych bądź szczególnych warunków ubezpieczenia, strony umowy ubezpieczenia uzgodniły, że:</w:t>
      </w:r>
    </w:p>
    <w:p w14:paraId="04D953BC" w14:textId="4231014F" w:rsidR="00FE46C6" w:rsidRDefault="00000000">
      <w:pPr>
        <w:widowControl w:val="0"/>
        <w:spacing w:line="360" w:lineRule="auto"/>
        <w:rPr>
          <w:rFonts w:ascii="Arial" w:hAnsi="Arial" w:cs="Arial"/>
          <w:spacing w:val="-4"/>
        </w:rPr>
      </w:pPr>
      <w:r>
        <w:rPr>
          <w:rFonts w:ascii="Arial" w:hAnsi="Arial" w:cs="Arial"/>
          <w:spacing w:val="-4"/>
        </w:rPr>
        <w:t xml:space="preserve">Wykonawca stawia do dyspozycji Zamawiającego fundusz prewencyjny w wysokości 5% płaconych składek z całości ubezpieczeń zawartych w wyniku niniejszego </w:t>
      </w:r>
      <w:r w:rsidR="008B7170">
        <w:rPr>
          <w:rFonts w:ascii="Arial" w:hAnsi="Arial" w:cs="Arial"/>
          <w:spacing w:val="-4"/>
        </w:rPr>
        <w:t>postępowania</w:t>
      </w:r>
      <w:r>
        <w:rPr>
          <w:rFonts w:ascii="Arial" w:hAnsi="Arial" w:cs="Arial"/>
          <w:spacing w:val="-4"/>
        </w:rPr>
        <w:t xml:space="preserve">. Środki z funduszu prewencyjnego mogą być wykorzystane w całości </w:t>
      </w:r>
      <w:r>
        <w:rPr>
          <w:rFonts w:ascii="Arial" w:hAnsi="Arial" w:cs="Arial"/>
          <w:spacing w:val="-4"/>
        </w:rPr>
        <w:lastRenderedPageBreak/>
        <w:t>przed zakończeniem okresu ubezpieczenia. Wykonawca przekazuje Zamawiającemu środki z funduszu prewencyjnego w ciągu 3 miesięcy od dnia otrzymania wniosku o przyznanie tych środków. Zamawiający przedstawi Wykonawcy rachunki lub kosztorys potwierdzający wydatki z tego funduszu.</w:t>
      </w:r>
    </w:p>
    <w:p w14:paraId="206E0A72" w14:textId="77777777" w:rsidR="00FE46C6" w:rsidRDefault="00000000">
      <w:pPr>
        <w:autoSpaceDE w:val="0"/>
        <w:spacing w:before="240" w:after="19" w:line="360" w:lineRule="auto"/>
      </w:pPr>
      <w:r>
        <w:rPr>
          <w:rFonts w:ascii="Arial" w:hAnsi="Arial" w:cs="Arial"/>
          <w:b/>
          <w:bCs/>
        </w:rPr>
        <w:t xml:space="preserve">Zakres ubezpieczenia obejmuje zniszczenie lub uszkodzenie ogumienia, </w:t>
      </w:r>
      <w:r>
        <w:rPr>
          <w:rFonts w:ascii="Arial" w:hAnsi="Arial" w:cs="Arial"/>
        </w:rPr>
        <w:t>również w sytuacji, gdy uszkodzeniu uległo jedynie ogumienie na skutek wypadku ubezpieczeniowego objętego zakresem ubezpieczenia, za wyjątkiem uszkodzenia ogumienia przez osoby trzecie polegającego na celowym przebiciu.</w:t>
      </w:r>
    </w:p>
    <w:p w14:paraId="38938544" w14:textId="77777777" w:rsidR="00FE46C6" w:rsidRDefault="00FE46C6">
      <w:pPr>
        <w:spacing w:line="360" w:lineRule="auto"/>
        <w:rPr>
          <w:rFonts w:ascii="Arial" w:hAnsi="Arial" w:cs="Arial"/>
        </w:rPr>
      </w:pPr>
    </w:p>
    <w:sectPr w:rsidR="00FE46C6">
      <w:headerReference w:type="default" r:id="rId8"/>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3C55" w14:textId="77777777" w:rsidR="006B721D" w:rsidRDefault="006B721D">
      <w:r>
        <w:separator/>
      </w:r>
    </w:p>
  </w:endnote>
  <w:endnote w:type="continuationSeparator" w:id="0">
    <w:p w14:paraId="47791892" w14:textId="77777777" w:rsidR="006B721D" w:rsidRDefault="006B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5878" w14:textId="77777777" w:rsidR="006B721D" w:rsidRDefault="006B721D">
      <w:r>
        <w:rPr>
          <w:color w:val="000000"/>
        </w:rPr>
        <w:separator/>
      </w:r>
    </w:p>
  </w:footnote>
  <w:footnote w:type="continuationSeparator" w:id="0">
    <w:p w14:paraId="5B8BE6AD" w14:textId="77777777" w:rsidR="006B721D" w:rsidRDefault="006B7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0ACB" w14:textId="3BEA518B" w:rsidR="00D7030C" w:rsidRPr="00A05B46" w:rsidRDefault="00D7030C" w:rsidP="00D7030C">
    <w:pPr>
      <w:pStyle w:val="Nagwek"/>
      <w:pBdr>
        <w:bottom w:val="single" w:sz="4" w:space="6" w:color="767171" w:themeColor="background2" w:themeShade="80"/>
      </w:pBdr>
      <w:rPr>
        <w:rFonts w:ascii="Arial" w:hAnsi="Arial" w:cs="Arial"/>
      </w:rPr>
    </w:pPr>
    <w:r w:rsidRPr="00A05B46">
      <w:rPr>
        <w:rFonts w:ascii="Arial" w:hAnsi="Arial" w:cs="Arial"/>
        <w:color w:val="767171" w:themeColor="background2" w:themeShade="80"/>
        <w:sz w:val="22"/>
        <w:szCs w:val="22"/>
      </w:rPr>
      <w:t>KMR/PU</w:t>
    </w:r>
    <w:r w:rsidR="00B36126">
      <w:rPr>
        <w:rFonts w:ascii="Arial" w:hAnsi="Arial" w:cs="Arial"/>
        <w:color w:val="767171" w:themeColor="background2" w:themeShade="80"/>
        <w:sz w:val="22"/>
        <w:szCs w:val="22"/>
      </w:rPr>
      <w:t>/</w:t>
    </w:r>
    <w:r w:rsidR="00A54261">
      <w:rPr>
        <w:rFonts w:ascii="Arial" w:hAnsi="Arial" w:cs="Arial"/>
        <w:color w:val="767171" w:themeColor="background2" w:themeShade="80"/>
        <w:sz w:val="22"/>
        <w:szCs w:val="22"/>
      </w:rPr>
      <w:t>12</w:t>
    </w:r>
    <w:r w:rsidRPr="00A05B46">
      <w:rPr>
        <w:rFonts w:ascii="Arial" w:hAnsi="Arial" w:cs="Arial"/>
        <w:color w:val="767171" w:themeColor="background2" w:themeShade="80"/>
        <w:sz w:val="22"/>
        <w:szCs w:val="22"/>
      </w:rPr>
      <w:t>/202</w:t>
    </w:r>
    <w:r w:rsidR="00B36126">
      <w:rPr>
        <w:rFonts w:ascii="Arial" w:hAnsi="Arial" w:cs="Arial"/>
        <w:color w:val="767171" w:themeColor="background2" w:themeShade="80"/>
        <w:sz w:val="22"/>
        <w:szCs w:val="22"/>
      </w:rPr>
      <w:t>4</w:t>
    </w:r>
    <w:r w:rsidRPr="00A05B46">
      <w:rPr>
        <w:rFonts w:ascii="Arial" w:hAnsi="Arial" w:cs="Arial"/>
      </w:rPr>
      <w:fldChar w:fldCharType="begin"/>
    </w:r>
    <w:r w:rsidRPr="00A05B46">
      <w:rPr>
        <w:rFonts w:ascii="Arial" w:hAnsi="Arial" w:cs="Arial"/>
      </w:rPr>
      <w:instrText xml:space="preserve"> TITLE  \* MERGEFORMAT </w:instrText>
    </w:r>
    <w:r w:rsidRPr="00A05B46">
      <w:rPr>
        <w:rFonts w:ascii="Arial" w:hAnsi="Arial" w:cs="Arial"/>
      </w:rPr>
      <w:fldChar w:fldCharType="end"/>
    </w:r>
  </w:p>
  <w:p w14:paraId="05B4C50C" w14:textId="77777777" w:rsidR="00D7030C" w:rsidRDefault="00D703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73D6"/>
    <w:multiLevelType w:val="multilevel"/>
    <w:tmpl w:val="73760882"/>
    <w:lvl w:ilvl="0">
      <w:start w:val="1"/>
      <w:numFmt w:val="decimal"/>
      <w:lvlText w:val="%1)"/>
      <w:lvlJc w:val="left"/>
      <w:pPr>
        <w:ind w:left="1353" w:hanging="360"/>
      </w:pPr>
      <w:rPr>
        <w:i w:val="0"/>
      </w:r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1" w15:restartNumberingAfterBreak="0">
    <w:nsid w:val="0C7B7094"/>
    <w:multiLevelType w:val="multilevel"/>
    <w:tmpl w:val="40126AA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923143D"/>
    <w:multiLevelType w:val="multilevel"/>
    <w:tmpl w:val="4954824E"/>
    <w:lvl w:ilvl="0">
      <w:start w:val="1"/>
      <w:numFmt w:val="decimal"/>
      <w:lvlText w:val="%1."/>
      <w:lvlJc w:val="left"/>
      <w:pPr>
        <w:ind w:left="360" w:hanging="360"/>
      </w:pPr>
      <w:rPr>
        <w:rFonts w:ascii="Arial" w:hAnsi="Arial" w:cs="Arial"/>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894418"/>
    <w:multiLevelType w:val="multilevel"/>
    <w:tmpl w:val="42DC5378"/>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C6910B8"/>
    <w:multiLevelType w:val="multilevel"/>
    <w:tmpl w:val="06FAEB70"/>
    <w:lvl w:ilvl="0">
      <w:start w:val="1"/>
      <w:numFmt w:val="decimal"/>
      <w:lvlText w:val="%1)"/>
      <w:lvlJc w:val="left"/>
      <w:pPr>
        <w:ind w:left="720" w:hanging="360"/>
      </w:pPr>
      <w:rPr>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EC770B2"/>
    <w:multiLevelType w:val="multilevel"/>
    <w:tmpl w:val="5BDC8396"/>
    <w:lvl w:ilvl="0">
      <w:start w:val="4"/>
      <w:numFmt w:val="decimal"/>
      <w:lvlText w:val="%1."/>
      <w:lvlJc w:val="left"/>
      <w:pPr>
        <w:ind w:left="360" w:hanging="360"/>
      </w:pPr>
      <w:rPr>
        <w:b/>
        <w:bCs/>
      </w:rPr>
    </w:lvl>
    <w:lvl w:ilvl="1">
      <w:start w:val="30"/>
      <w:numFmt w:val="decimal"/>
      <w:lvlText w:val="%1.%2."/>
      <w:lvlJc w:val="left"/>
      <w:pPr>
        <w:ind w:left="792" w:hanging="432"/>
      </w:pPr>
      <w:rPr>
        <w:rFonts w:ascii="Arial" w:hAnsi="Arial" w:cs="Arial"/>
        <w:b w:val="0"/>
        <w:bCs w:val="0"/>
        <w:sz w:val="24"/>
        <w:szCs w:val="24"/>
      </w:rPr>
    </w:lvl>
    <w:lvl w:ilvl="2">
      <w:start w:val="1"/>
      <w:numFmt w:val="decimal"/>
      <w:lvlText w:val="%1.%2.%3."/>
      <w:lvlJc w:val="left"/>
      <w:pPr>
        <w:ind w:left="1639" w:hanging="504"/>
      </w:pPr>
      <w:rPr>
        <w:b w:val="0"/>
      </w:rPr>
    </w:lvl>
    <w:lvl w:ilvl="3">
      <w:start w:val="1"/>
      <w:numFmt w:val="decimal"/>
      <w:lvlText w:val="%1.%2.%3.%4."/>
      <w:lvlJc w:val="left"/>
      <w:pPr>
        <w:ind w:left="2350"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BA2FFE"/>
    <w:multiLevelType w:val="multilevel"/>
    <w:tmpl w:val="A756061A"/>
    <w:lvl w:ilvl="0">
      <w:start w:val="1"/>
      <w:numFmt w:val="lowerLetter"/>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7" w15:restartNumberingAfterBreak="0">
    <w:nsid w:val="3CA2489B"/>
    <w:multiLevelType w:val="multilevel"/>
    <w:tmpl w:val="418893B2"/>
    <w:lvl w:ilvl="0">
      <w:start w:val="1"/>
      <w:numFmt w:val="lowerLetter"/>
      <w:lvlText w:val="%1)"/>
      <w:lvlJc w:val="left"/>
      <w:pPr>
        <w:ind w:left="2280" w:hanging="360"/>
      </w:pPr>
    </w:lvl>
    <w:lvl w:ilvl="1">
      <w:numFmt w:val="bullet"/>
      <w:lvlText w:val="o"/>
      <w:lvlJc w:val="left"/>
      <w:pPr>
        <w:ind w:left="3000" w:hanging="360"/>
      </w:pPr>
      <w:rPr>
        <w:rFonts w:ascii="Courier New" w:hAnsi="Courier New" w:cs="Courier New"/>
      </w:rPr>
    </w:lvl>
    <w:lvl w:ilvl="2">
      <w:numFmt w:val="bullet"/>
      <w:lvlText w:val=""/>
      <w:lvlJc w:val="left"/>
      <w:pPr>
        <w:ind w:left="3720" w:hanging="360"/>
      </w:pPr>
      <w:rPr>
        <w:rFonts w:ascii="Wingdings" w:hAnsi="Wingdings"/>
      </w:rPr>
    </w:lvl>
    <w:lvl w:ilvl="3">
      <w:numFmt w:val="bullet"/>
      <w:lvlText w:val=""/>
      <w:lvlJc w:val="left"/>
      <w:pPr>
        <w:ind w:left="4440" w:hanging="360"/>
      </w:pPr>
      <w:rPr>
        <w:rFonts w:ascii="Symbol" w:hAnsi="Symbol"/>
      </w:rPr>
    </w:lvl>
    <w:lvl w:ilvl="4">
      <w:numFmt w:val="bullet"/>
      <w:lvlText w:val="o"/>
      <w:lvlJc w:val="left"/>
      <w:pPr>
        <w:ind w:left="5160" w:hanging="360"/>
      </w:pPr>
      <w:rPr>
        <w:rFonts w:ascii="Courier New" w:hAnsi="Courier New" w:cs="Courier New"/>
      </w:rPr>
    </w:lvl>
    <w:lvl w:ilvl="5">
      <w:numFmt w:val="bullet"/>
      <w:lvlText w:val=""/>
      <w:lvlJc w:val="left"/>
      <w:pPr>
        <w:ind w:left="5880" w:hanging="360"/>
      </w:pPr>
      <w:rPr>
        <w:rFonts w:ascii="Wingdings" w:hAnsi="Wingdings"/>
      </w:rPr>
    </w:lvl>
    <w:lvl w:ilvl="6">
      <w:numFmt w:val="bullet"/>
      <w:lvlText w:val=""/>
      <w:lvlJc w:val="left"/>
      <w:pPr>
        <w:ind w:left="6600" w:hanging="360"/>
      </w:pPr>
      <w:rPr>
        <w:rFonts w:ascii="Symbol" w:hAnsi="Symbol"/>
      </w:rPr>
    </w:lvl>
    <w:lvl w:ilvl="7">
      <w:numFmt w:val="bullet"/>
      <w:lvlText w:val="o"/>
      <w:lvlJc w:val="left"/>
      <w:pPr>
        <w:ind w:left="7320" w:hanging="360"/>
      </w:pPr>
      <w:rPr>
        <w:rFonts w:ascii="Courier New" w:hAnsi="Courier New" w:cs="Courier New"/>
      </w:rPr>
    </w:lvl>
    <w:lvl w:ilvl="8">
      <w:numFmt w:val="bullet"/>
      <w:lvlText w:val=""/>
      <w:lvlJc w:val="left"/>
      <w:pPr>
        <w:ind w:left="8040" w:hanging="360"/>
      </w:pPr>
      <w:rPr>
        <w:rFonts w:ascii="Wingdings" w:hAnsi="Wingdings"/>
      </w:rPr>
    </w:lvl>
  </w:abstractNum>
  <w:abstractNum w:abstractNumId="8" w15:restartNumberingAfterBreak="0">
    <w:nsid w:val="3EDC4BEF"/>
    <w:multiLevelType w:val="multilevel"/>
    <w:tmpl w:val="9CF63674"/>
    <w:lvl w:ilvl="0">
      <w:start w:val="1"/>
      <w:numFmt w:val="decimal"/>
      <w:lvlText w:val="%1."/>
      <w:lvlJc w:val="left"/>
      <w:pPr>
        <w:ind w:left="360" w:hanging="360"/>
      </w:pPr>
      <w:rPr>
        <w:b/>
        <w:bCs/>
      </w:rPr>
    </w:lvl>
    <w:lvl w:ilvl="1">
      <w:start w:val="1"/>
      <w:numFmt w:val="decimal"/>
      <w:lvlText w:val="%1.%2."/>
      <w:lvlJc w:val="left"/>
      <w:pPr>
        <w:ind w:left="792" w:hanging="432"/>
      </w:pPr>
      <w:rPr>
        <w:b w:val="0"/>
        <w:bCs w:val="0"/>
        <w:color w:val="auto"/>
      </w:rPr>
    </w:lvl>
    <w:lvl w:ilvl="2">
      <w:start w:val="1"/>
      <w:numFmt w:val="decimal"/>
      <w:lvlText w:val="%1.%2.%3."/>
      <w:lvlJc w:val="left"/>
      <w:pPr>
        <w:ind w:left="1639" w:hanging="504"/>
      </w:pPr>
      <w:rPr>
        <w:rFonts w:ascii="Arial" w:hAnsi="Arial" w:cs="Arial"/>
        <w:b w:val="0"/>
        <w:i w:val="0"/>
        <w:iCs w:val="0"/>
      </w:rPr>
    </w:lvl>
    <w:lvl w:ilvl="3">
      <w:start w:val="1"/>
      <w:numFmt w:val="decimal"/>
      <w:lvlText w:val="%1.%2.%3.%4."/>
      <w:lvlJc w:val="left"/>
      <w:pPr>
        <w:ind w:left="2350"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AA6F1C"/>
    <w:multiLevelType w:val="multilevel"/>
    <w:tmpl w:val="9B56D87E"/>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10F7BDE"/>
    <w:multiLevelType w:val="multilevel"/>
    <w:tmpl w:val="70ACE9A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5746DF"/>
    <w:multiLevelType w:val="multilevel"/>
    <w:tmpl w:val="2532614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8686656"/>
    <w:multiLevelType w:val="multilevel"/>
    <w:tmpl w:val="78746C7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A4558CD"/>
    <w:multiLevelType w:val="multilevel"/>
    <w:tmpl w:val="0A22FBF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A3F3944"/>
    <w:multiLevelType w:val="multilevel"/>
    <w:tmpl w:val="5DC4B83E"/>
    <w:lvl w:ilvl="0">
      <w:start w:val="4"/>
      <w:numFmt w:val="decimal"/>
      <w:lvlText w:val="%1."/>
      <w:lvlJc w:val="left"/>
      <w:pPr>
        <w:ind w:left="360" w:hanging="360"/>
      </w:pPr>
      <w:rPr>
        <w:b/>
        <w:bCs/>
      </w:rPr>
    </w:lvl>
    <w:lvl w:ilvl="1">
      <w:start w:val="30"/>
      <w:numFmt w:val="decimal"/>
      <w:lvlText w:val="%1.%2."/>
      <w:lvlJc w:val="left"/>
      <w:pPr>
        <w:ind w:left="792" w:hanging="432"/>
      </w:pPr>
      <w:rPr>
        <w:b w:val="0"/>
        <w:bCs w:val="0"/>
        <w:sz w:val="24"/>
        <w:szCs w:val="24"/>
      </w:rPr>
    </w:lvl>
    <w:lvl w:ilvl="2">
      <w:start w:val="1"/>
      <w:numFmt w:val="decimal"/>
      <w:lvlText w:val="%1.%2.%3."/>
      <w:lvlJc w:val="left"/>
      <w:pPr>
        <w:ind w:left="1639" w:hanging="504"/>
      </w:pPr>
      <w:rPr>
        <w:b w:val="0"/>
      </w:rPr>
    </w:lvl>
    <w:lvl w:ilvl="3">
      <w:start w:val="1"/>
      <w:numFmt w:val="decimal"/>
      <w:lvlText w:val="%1.%2.%3.%4."/>
      <w:lvlJc w:val="left"/>
      <w:pPr>
        <w:ind w:left="2350"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9231B0"/>
    <w:multiLevelType w:val="multilevel"/>
    <w:tmpl w:val="CC0EC854"/>
    <w:styleLink w:val="WWOutlineListStyle3"/>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6" w15:restartNumberingAfterBreak="0">
    <w:nsid w:val="6E6F78D7"/>
    <w:multiLevelType w:val="multilevel"/>
    <w:tmpl w:val="38AA26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E334214"/>
    <w:multiLevelType w:val="multilevel"/>
    <w:tmpl w:val="980698B2"/>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55726669">
    <w:abstractNumId w:val="15"/>
  </w:num>
  <w:num w:numId="2" w16cid:durableId="1760827569">
    <w:abstractNumId w:val="9"/>
  </w:num>
  <w:num w:numId="3" w16cid:durableId="1082066330">
    <w:abstractNumId w:val="17"/>
  </w:num>
  <w:num w:numId="4" w16cid:durableId="1367367441">
    <w:abstractNumId w:val="3"/>
  </w:num>
  <w:num w:numId="5" w16cid:durableId="2146698671">
    <w:abstractNumId w:val="10"/>
  </w:num>
  <w:num w:numId="6" w16cid:durableId="838617132">
    <w:abstractNumId w:val="10"/>
    <w:lvlOverride w:ilvl="0">
      <w:startOverride w:val="1"/>
    </w:lvlOverride>
  </w:num>
  <w:num w:numId="7" w16cid:durableId="769660939">
    <w:abstractNumId w:val="8"/>
  </w:num>
  <w:num w:numId="8" w16cid:durableId="540828731">
    <w:abstractNumId w:val="8"/>
    <w:lvlOverride w:ilvl="0">
      <w:startOverride w:val="1"/>
    </w:lvlOverride>
  </w:num>
  <w:num w:numId="9" w16cid:durableId="967780868">
    <w:abstractNumId w:val="6"/>
  </w:num>
  <w:num w:numId="10" w16cid:durableId="421534466">
    <w:abstractNumId w:val="6"/>
    <w:lvlOverride w:ilvl="0">
      <w:startOverride w:val="1"/>
    </w:lvlOverride>
  </w:num>
  <w:num w:numId="11" w16cid:durableId="1746221567">
    <w:abstractNumId w:val="4"/>
  </w:num>
  <w:num w:numId="12" w16cid:durableId="1043752369">
    <w:abstractNumId w:val="4"/>
    <w:lvlOverride w:ilvl="0">
      <w:startOverride w:val="1"/>
    </w:lvlOverride>
  </w:num>
  <w:num w:numId="13" w16cid:durableId="719944377">
    <w:abstractNumId w:val="11"/>
  </w:num>
  <w:num w:numId="14" w16cid:durableId="1686438938">
    <w:abstractNumId w:val="11"/>
    <w:lvlOverride w:ilvl="0">
      <w:startOverride w:val="1"/>
    </w:lvlOverride>
  </w:num>
  <w:num w:numId="15" w16cid:durableId="1455363061">
    <w:abstractNumId w:val="7"/>
  </w:num>
  <w:num w:numId="16" w16cid:durableId="1629386130">
    <w:abstractNumId w:val="7"/>
    <w:lvlOverride w:ilvl="0">
      <w:startOverride w:val="1"/>
    </w:lvlOverride>
  </w:num>
  <w:num w:numId="17" w16cid:durableId="1888490112">
    <w:abstractNumId w:val="0"/>
  </w:num>
  <w:num w:numId="18" w16cid:durableId="1910193290">
    <w:abstractNumId w:val="0"/>
    <w:lvlOverride w:ilvl="0">
      <w:startOverride w:val="1"/>
    </w:lvlOverride>
  </w:num>
  <w:num w:numId="19" w16cid:durableId="115806031">
    <w:abstractNumId w:val="16"/>
  </w:num>
  <w:num w:numId="20" w16cid:durableId="1820732258">
    <w:abstractNumId w:val="16"/>
    <w:lvlOverride w:ilvl="0">
      <w:startOverride w:val="1"/>
    </w:lvlOverride>
  </w:num>
  <w:num w:numId="21" w16cid:durableId="1203402684">
    <w:abstractNumId w:val="5"/>
  </w:num>
  <w:num w:numId="22" w16cid:durableId="1183741696">
    <w:abstractNumId w:val="5"/>
    <w:lvlOverride w:ilvl="0">
      <w:startOverride w:val="4"/>
    </w:lvlOverride>
  </w:num>
  <w:num w:numId="23" w16cid:durableId="1265335555">
    <w:abstractNumId w:val="14"/>
  </w:num>
  <w:num w:numId="24" w16cid:durableId="873464954">
    <w:abstractNumId w:val="14"/>
    <w:lvlOverride w:ilvl="0">
      <w:startOverride w:val="1"/>
    </w:lvlOverride>
    <w:lvlOverride w:ilvl="1">
      <w:startOverride w:val="1"/>
    </w:lvlOverride>
  </w:num>
  <w:num w:numId="25" w16cid:durableId="1043753685">
    <w:abstractNumId w:val="1"/>
  </w:num>
  <w:num w:numId="26" w16cid:durableId="1104224010">
    <w:abstractNumId w:val="1"/>
    <w:lvlOverride w:ilvl="0">
      <w:startOverride w:val="1"/>
    </w:lvlOverride>
  </w:num>
  <w:num w:numId="27" w16cid:durableId="804009481">
    <w:abstractNumId w:val="12"/>
  </w:num>
  <w:num w:numId="28" w16cid:durableId="887574392">
    <w:abstractNumId w:val="12"/>
    <w:lvlOverride w:ilvl="0">
      <w:startOverride w:val="1"/>
    </w:lvlOverride>
  </w:num>
  <w:num w:numId="29" w16cid:durableId="1501579113">
    <w:abstractNumId w:val="13"/>
  </w:num>
  <w:num w:numId="30" w16cid:durableId="1241866182">
    <w:abstractNumId w:val="13"/>
    <w:lvlOverride w:ilvl="0">
      <w:startOverride w:val="1"/>
    </w:lvlOverride>
  </w:num>
  <w:num w:numId="31" w16cid:durableId="734622893">
    <w:abstractNumId w:val="2"/>
  </w:num>
  <w:num w:numId="32" w16cid:durableId="163540436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C6"/>
    <w:rsid w:val="000406C7"/>
    <w:rsid w:val="001B3379"/>
    <w:rsid w:val="00211B1B"/>
    <w:rsid w:val="0023716E"/>
    <w:rsid w:val="00257611"/>
    <w:rsid w:val="002E1373"/>
    <w:rsid w:val="003948FF"/>
    <w:rsid w:val="00460B1F"/>
    <w:rsid w:val="004D38CE"/>
    <w:rsid w:val="005467A1"/>
    <w:rsid w:val="005C6BE1"/>
    <w:rsid w:val="006B721D"/>
    <w:rsid w:val="006E0076"/>
    <w:rsid w:val="00762486"/>
    <w:rsid w:val="007A5459"/>
    <w:rsid w:val="007B4D2F"/>
    <w:rsid w:val="0083145B"/>
    <w:rsid w:val="008B7170"/>
    <w:rsid w:val="008E54B5"/>
    <w:rsid w:val="00940C7C"/>
    <w:rsid w:val="00A54261"/>
    <w:rsid w:val="00AC106F"/>
    <w:rsid w:val="00AC58E8"/>
    <w:rsid w:val="00B25F03"/>
    <w:rsid w:val="00B36126"/>
    <w:rsid w:val="00BF31A8"/>
    <w:rsid w:val="00C54304"/>
    <w:rsid w:val="00CA3B3F"/>
    <w:rsid w:val="00D24AEB"/>
    <w:rsid w:val="00D26F5C"/>
    <w:rsid w:val="00D7014E"/>
    <w:rsid w:val="00D7030C"/>
    <w:rsid w:val="00E53AEA"/>
    <w:rsid w:val="00ED47FA"/>
    <w:rsid w:val="00F4458F"/>
    <w:rsid w:val="00F72AE7"/>
    <w:rsid w:val="00FB71EE"/>
    <w:rsid w:val="00FE46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04EFC0C"/>
  <w15:docId w15:val="{9DE1332D-29D9-784D-880D-56A50866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pl-PL"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0" w:line="240" w:lineRule="auto"/>
    </w:pPr>
    <w:rPr>
      <w:rFonts w:ascii="Times New Roman" w:eastAsia="Times New Roman" w:hAnsi="Times New Roman"/>
      <w:kern w:val="0"/>
      <w:sz w:val="24"/>
      <w:szCs w:val="24"/>
      <w:lang w:eastAsia="ar-SA"/>
    </w:rPr>
  </w:style>
  <w:style w:type="paragraph" w:styleId="Nagwek1">
    <w:name w:val="heading 1"/>
    <w:basedOn w:val="Normalny"/>
    <w:next w:val="Normalny"/>
    <w:uiPriority w:val="9"/>
    <w:qFormat/>
    <w:pPr>
      <w:keepNext/>
      <w:numPr>
        <w:numId w:val="1"/>
      </w:numPr>
      <w:spacing w:before="240" w:after="60"/>
      <w:outlineLvl w:val="0"/>
    </w:pPr>
    <w:rPr>
      <w:rFonts w:ascii="Arial" w:hAnsi="Arial" w:cs="Arial"/>
      <w:b/>
      <w:bCs/>
      <w:kern w:val="3"/>
      <w:sz w:val="32"/>
      <w:szCs w:val="32"/>
    </w:rPr>
  </w:style>
  <w:style w:type="paragraph" w:styleId="Nagwek2">
    <w:name w:val="heading 2"/>
    <w:basedOn w:val="Normalny"/>
    <w:next w:val="Normalny"/>
    <w:uiPriority w:val="9"/>
    <w:semiHidden/>
    <w:unhideWhenUsed/>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uiPriority w:val="9"/>
    <w:semiHidden/>
    <w:unhideWhenUsed/>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uiPriority w:val="9"/>
    <w:semiHidden/>
    <w:unhideWhenUsed/>
    <w:qFormat/>
    <w:pPr>
      <w:keepNext/>
      <w:numPr>
        <w:ilvl w:val="3"/>
        <w:numId w:val="1"/>
      </w:numPr>
      <w:spacing w:before="240" w:after="60"/>
      <w:outlineLvl w:val="3"/>
    </w:pPr>
    <w:rPr>
      <w:b/>
      <w:bCs/>
      <w:sz w:val="28"/>
      <w:szCs w:val="28"/>
    </w:rPr>
  </w:style>
  <w:style w:type="paragraph" w:styleId="Nagwek5">
    <w:name w:val="heading 5"/>
    <w:basedOn w:val="Normalny"/>
    <w:next w:val="Normalny"/>
    <w:uiPriority w:val="9"/>
    <w:semiHidden/>
    <w:unhideWhenUsed/>
    <w:qFormat/>
    <w:pPr>
      <w:numPr>
        <w:ilvl w:val="4"/>
        <w:numId w:val="1"/>
      </w:numPr>
      <w:spacing w:before="240" w:after="60"/>
      <w:outlineLvl w:val="4"/>
    </w:pPr>
    <w:rPr>
      <w:b/>
      <w:bCs/>
      <w:i/>
      <w:iCs/>
      <w:sz w:val="26"/>
      <w:szCs w:val="26"/>
    </w:rPr>
  </w:style>
  <w:style w:type="paragraph" w:styleId="Nagwek6">
    <w:name w:val="heading 6"/>
    <w:basedOn w:val="Normalny"/>
    <w:next w:val="Normalny"/>
    <w:uiPriority w:val="9"/>
    <w:semiHidden/>
    <w:unhideWhenUsed/>
    <w:qFormat/>
    <w:pPr>
      <w:numPr>
        <w:ilvl w:val="5"/>
        <w:numId w:val="1"/>
      </w:numPr>
      <w:spacing w:before="240" w:after="60"/>
      <w:outlineLvl w:val="5"/>
    </w:pPr>
    <w:rPr>
      <w:b/>
      <w:bCs/>
      <w:sz w:val="22"/>
      <w:szCs w:val="22"/>
    </w:rPr>
  </w:style>
  <w:style w:type="paragraph" w:styleId="Nagwek7">
    <w:name w:val="heading 7"/>
    <w:basedOn w:val="Normalny"/>
    <w:next w:val="Normalny"/>
    <w:pPr>
      <w:numPr>
        <w:ilvl w:val="6"/>
        <w:numId w:val="1"/>
      </w:numPr>
      <w:spacing w:before="240" w:after="60"/>
      <w:outlineLvl w:val="6"/>
    </w:pPr>
  </w:style>
  <w:style w:type="paragraph" w:styleId="Nagwek8">
    <w:name w:val="heading 8"/>
    <w:basedOn w:val="Normalny"/>
    <w:next w:val="Normalny"/>
    <w:pPr>
      <w:numPr>
        <w:ilvl w:val="7"/>
        <w:numId w:val="1"/>
      </w:numPr>
      <w:spacing w:before="240" w:after="60"/>
      <w:outlineLvl w:val="7"/>
    </w:pPr>
    <w:rPr>
      <w:i/>
      <w:iCs/>
    </w:rPr>
  </w:style>
  <w:style w:type="paragraph" w:styleId="Nagwek9">
    <w:name w:val="heading 9"/>
    <w:basedOn w:val="Normalny"/>
    <w:next w:val="Normalny"/>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
    <w:name w:val="WW_OutlineListStyle_3"/>
    <w:basedOn w:val="Bezlisty"/>
    <w:pPr>
      <w:numPr>
        <w:numId w:val="1"/>
      </w:numPr>
    </w:pPr>
  </w:style>
  <w:style w:type="character" w:customStyle="1" w:styleId="Nagwek1Znak">
    <w:name w:val="Nagłówek 1 Znak"/>
    <w:basedOn w:val="Domylnaczcionkaakapitu"/>
    <w:rPr>
      <w:rFonts w:ascii="Arial" w:eastAsia="Times New Roman" w:hAnsi="Arial" w:cs="Arial"/>
      <w:b/>
      <w:bCs/>
      <w:sz w:val="32"/>
      <w:szCs w:val="32"/>
      <w:lang w:eastAsia="ar-SA"/>
    </w:rPr>
  </w:style>
  <w:style w:type="character" w:customStyle="1" w:styleId="Nagwek2Znak">
    <w:name w:val="Nagłówek 2 Znak"/>
    <w:basedOn w:val="Domylnaczcionkaakapitu"/>
    <w:rPr>
      <w:rFonts w:ascii="Arial" w:eastAsia="Times New Roman" w:hAnsi="Arial" w:cs="Arial"/>
      <w:b/>
      <w:bCs/>
      <w:i/>
      <w:iCs/>
      <w:kern w:val="0"/>
      <w:sz w:val="28"/>
      <w:szCs w:val="28"/>
      <w:lang w:eastAsia="ar-SA"/>
    </w:rPr>
  </w:style>
  <w:style w:type="character" w:customStyle="1" w:styleId="Nagwek3Znak">
    <w:name w:val="Nagłówek 3 Znak"/>
    <w:basedOn w:val="Domylnaczcionkaakapitu"/>
    <w:rPr>
      <w:rFonts w:ascii="Arial" w:eastAsia="Times New Roman" w:hAnsi="Arial" w:cs="Arial"/>
      <w:b/>
      <w:bCs/>
      <w:kern w:val="0"/>
      <w:sz w:val="26"/>
      <w:szCs w:val="26"/>
      <w:lang w:eastAsia="ar-SA"/>
    </w:rPr>
  </w:style>
  <w:style w:type="character" w:customStyle="1" w:styleId="Nagwek4Znak">
    <w:name w:val="Nagłówek 4 Znak"/>
    <w:basedOn w:val="Domylnaczcionkaakapitu"/>
    <w:rPr>
      <w:rFonts w:ascii="Times New Roman" w:eastAsia="Times New Roman" w:hAnsi="Times New Roman" w:cs="Times New Roman"/>
      <w:b/>
      <w:bCs/>
      <w:kern w:val="0"/>
      <w:sz w:val="28"/>
      <w:szCs w:val="28"/>
      <w:lang w:eastAsia="ar-SA"/>
    </w:rPr>
  </w:style>
  <w:style w:type="character" w:customStyle="1" w:styleId="Nagwek5Znak">
    <w:name w:val="Nagłówek 5 Znak"/>
    <w:basedOn w:val="Domylnaczcionkaakapitu"/>
    <w:rPr>
      <w:rFonts w:ascii="Times New Roman" w:eastAsia="Times New Roman" w:hAnsi="Times New Roman" w:cs="Times New Roman"/>
      <w:b/>
      <w:bCs/>
      <w:i/>
      <w:iCs/>
      <w:kern w:val="0"/>
      <w:sz w:val="26"/>
      <w:szCs w:val="26"/>
      <w:lang w:eastAsia="ar-SA"/>
    </w:rPr>
  </w:style>
  <w:style w:type="character" w:customStyle="1" w:styleId="Nagwek6Znak">
    <w:name w:val="Nagłówek 6 Znak"/>
    <w:basedOn w:val="Domylnaczcionkaakapitu"/>
    <w:rPr>
      <w:rFonts w:ascii="Times New Roman" w:eastAsia="Times New Roman" w:hAnsi="Times New Roman" w:cs="Times New Roman"/>
      <w:b/>
      <w:bCs/>
      <w:kern w:val="0"/>
      <w:lang w:eastAsia="ar-SA"/>
    </w:rPr>
  </w:style>
  <w:style w:type="character" w:customStyle="1" w:styleId="Nagwek7Znak">
    <w:name w:val="Nagłówek 7 Znak"/>
    <w:basedOn w:val="Domylnaczcionkaakapitu"/>
    <w:rPr>
      <w:rFonts w:ascii="Times New Roman" w:eastAsia="Times New Roman" w:hAnsi="Times New Roman" w:cs="Times New Roman"/>
      <w:kern w:val="0"/>
      <w:sz w:val="24"/>
      <w:szCs w:val="24"/>
      <w:lang w:eastAsia="ar-SA"/>
    </w:rPr>
  </w:style>
  <w:style w:type="character" w:customStyle="1" w:styleId="Nagwek8Znak">
    <w:name w:val="Nagłówek 8 Znak"/>
    <w:basedOn w:val="Domylnaczcionkaakapitu"/>
    <w:rPr>
      <w:rFonts w:ascii="Times New Roman" w:eastAsia="Times New Roman" w:hAnsi="Times New Roman" w:cs="Times New Roman"/>
      <w:i/>
      <w:iCs/>
      <w:kern w:val="0"/>
      <w:sz w:val="24"/>
      <w:szCs w:val="24"/>
      <w:lang w:eastAsia="ar-SA"/>
    </w:rPr>
  </w:style>
  <w:style w:type="character" w:customStyle="1" w:styleId="Nagwek9Znak">
    <w:name w:val="Nagłówek 9 Znak"/>
    <w:basedOn w:val="Domylnaczcionkaakapitu"/>
    <w:rPr>
      <w:rFonts w:ascii="Arial" w:eastAsia="Times New Roman" w:hAnsi="Arial" w:cs="Arial"/>
      <w:kern w:val="0"/>
      <w:lang w:eastAsia="ar-SA"/>
    </w:rPr>
  </w:style>
  <w:style w:type="character" w:styleId="Hipercze">
    <w:name w:val="Hyperlink"/>
    <w:rPr>
      <w:color w:val="0000FF"/>
      <w:u w:val="single"/>
    </w:rPr>
  </w:style>
  <w:style w:type="paragraph" w:styleId="Tytu">
    <w:name w:val="Title"/>
    <w:basedOn w:val="Normalny"/>
    <w:next w:val="Podtytu"/>
    <w:uiPriority w:val="10"/>
    <w:qFormat/>
    <w:pPr>
      <w:widowControl w:val="0"/>
      <w:overflowPunct w:val="0"/>
      <w:autoSpaceDE w:val="0"/>
      <w:jc w:val="center"/>
    </w:pPr>
    <w:rPr>
      <w:b/>
      <w:sz w:val="26"/>
      <w:szCs w:val="20"/>
    </w:rPr>
  </w:style>
  <w:style w:type="character" w:customStyle="1" w:styleId="TytuZnak">
    <w:name w:val="Tytuł Znak"/>
    <w:basedOn w:val="Domylnaczcionkaakapitu"/>
    <w:rPr>
      <w:rFonts w:ascii="Times New Roman" w:eastAsia="Times New Roman" w:hAnsi="Times New Roman" w:cs="Times New Roman"/>
      <w:b/>
      <w:kern w:val="0"/>
      <w:sz w:val="26"/>
      <w:szCs w:val="20"/>
      <w:lang w:eastAsia="ar-SA"/>
    </w:rPr>
  </w:style>
  <w:style w:type="paragraph" w:styleId="Akapitzlist">
    <w:name w:val="List Paragraph"/>
    <w:basedOn w:val="Normalny"/>
    <w:pPr>
      <w:ind w:left="708"/>
    </w:pPr>
  </w:style>
  <w:style w:type="paragraph" w:customStyle="1" w:styleId="Default">
    <w:name w:val="Default"/>
    <w:pPr>
      <w:widowControl w:val="0"/>
      <w:suppressAutoHyphens/>
      <w:autoSpaceDE w:val="0"/>
      <w:spacing w:after="0" w:line="240" w:lineRule="auto"/>
    </w:pPr>
    <w:rPr>
      <w:rFonts w:ascii="Times New Roman" w:eastAsia="Arial" w:hAnsi="Times New Roman"/>
      <w:color w:val="000000"/>
      <w:kern w:val="0"/>
      <w:sz w:val="24"/>
      <w:szCs w:val="24"/>
      <w:lang w:eastAsia="ar-SA"/>
    </w:rPr>
  </w:style>
  <w:style w:type="paragraph" w:styleId="Podtytu">
    <w:name w:val="Subtitle"/>
    <w:basedOn w:val="Normalny"/>
    <w:next w:val="Normalny"/>
    <w:uiPriority w:val="11"/>
    <w:qFormat/>
    <w:pPr>
      <w:spacing w:after="160"/>
    </w:pPr>
    <w:rPr>
      <w:rFonts w:ascii="Calibri" w:hAnsi="Calibri"/>
      <w:color w:val="5A5A5A"/>
      <w:spacing w:val="15"/>
      <w:sz w:val="22"/>
      <w:szCs w:val="22"/>
    </w:rPr>
  </w:style>
  <w:style w:type="character" w:customStyle="1" w:styleId="PodtytuZnak">
    <w:name w:val="Podtytuł Znak"/>
    <w:basedOn w:val="Domylnaczcionkaakapitu"/>
    <w:rPr>
      <w:rFonts w:eastAsia="Times New Roman"/>
      <w:color w:val="5A5A5A"/>
      <w:spacing w:val="15"/>
      <w:kern w:val="0"/>
      <w:lang w:eastAsia="ar-SA"/>
    </w:rPr>
  </w:style>
  <w:style w:type="numbering" w:customStyle="1" w:styleId="WWOutlineListStyle2">
    <w:name w:val="WW_OutlineListStyle_2"/>
    <w:basedOn w:val="Bezlisty"/>
    <w:pPr>
      <w:numPr>
        <w:numId w:val="2"/>
      </w:numPr>
    </w:pPr>
  </w:style>
  <w:style w:type="numbering" w:customStyle="1" w:styleId="WWOutlineListStyle1">
    <w:name w:val="WW_OutlineListStyle_1"/>
    <w:basedOn w:val="Bezlisty"/>
    <w:pPr>
      <w:numPr>
        <w:numId w:val="3"/>
      </w:numPr>
    </w:pPr>
  </w:style>
  <w:style w:type="numbering" w:customStyle="1" w:styleId="WWOutlineListStyle">
    <w:name w:val="WW_OutlineListStyle"/>
    <w:basedOn w:val="Bezlisty"/>
    <w:pPr>
      <w:numPr>
        <w:numId w:val="4"/>
      </w:numPr>
    </w:pPr>
  </w:style>
  <w:style w:type="paragraph" w:styleId="Nagwek">
    <w:name w:val="header"/>
    <w:basedOn w:val="Normalny"/>
    <w:link w:val="NagwekZnak"/>
    <w:uiPriority w:val="99"/>
    <w:unhideWhenUsed/>
    <w:rsid w:val="00D7030C"/>
    <w:pPr>
      <w:tabs>
        <w:tab w:val="center" w:pos="4536"/>
        <w:tab w:val="right" w:pos="9072"/>
      </w:tabs>
    </w:pPr>
  </w:style>
  <w:style w:type="character" w:customStyle="1" w:styleId="NagwekZnak">
    <w:name w:val="Nagłówek Znak"/>
    <w:basedOn w:val="Domylnaczcionkaakapitu"/>
    <w:link w:val="Nagwek"/>
    <w:uiPriority w:val="99"/>
    <w:rsid w:val="00D7030C"/>
    <w:rPr>
      <w:rFonts w:ascii="Times New Roman" w:eastAsia="Times New Roman" w:hAnsi="Times New Roman"/>
      <w:kern w:val="0"/>
      <w:sz w:val="24"/>
      <w:szCs w:val="24"/>
      <w:lang w:eastAsia="ar-SA"/>
    </w:rPr>
  </w:style>
  <w:style w:type="paragraph" w:styleId="Stopka">
    <w:name w:val="footer"/>
    <w:basedOn w:val="Normalny"/>
    <w:link w:val="StopkaZnak"/>
    <w:uiPriority w:val="99"/>
    <w:unhideWhenUsed/>
    <w:rsid w:val="00D7030C"/>
    <w:pPr>
      <w:tabs>
        <w:tab w:val="center" w:pos="4536"/>
        <w:tab w:val="right" w:pos="9072"/>
      </w:tabs>
    </w:pPr>
  </w:style>
  <w:style w:type="character" w:customStyle="1" w:styleId="StopkaZnak">
    <w:name w:val="Stopka Znak"/>
    <w:basedOn w:val="Domylnaczcionkaakapitu"/>
    <w:link w:val="Stopka"/>
    <w:uiPriority w:val="99"/>
    <w:rsid w:val="00D7030C"/>
    <w:rPr>
      <w:rFonts w:ascii="Times New Roman" w:eastAsia="Times New Roman" w:hAnsi="Times New Roman"/>
      <w:kern w:val="0"/>
      <w:sz w:val="24"/>
      <w:szCs w:val="24"/>
      <w:lang w:eastAsia="ar-SA"/>
    </w:rPr>
  </w:style>
  <w:style w:type="character" w:styleId="Odwoaniedokomentarza">
    <w:name w:val="annotation reference"/>
    <w:basedOn w:val="Domylnaczcionkaakapitu"/>
    <w:uiPriority w:val="99"/>
    <w:semiHidden/>
    <w:unhideWhenUsed/>
    <w:rsid w:val="00F4458F"/>
    <w:rPr>
      <w:sz w:val="16"/>
      <w:szCs w:val="16"/>
    </w:rPr>
  </w:style>
  <w:style w:type="paragraph" w:styleId="Tekstkomentarza">
    <w:name w:val="annotation text"/>
    <w:basedOn w:val="Normalny"/>
    <w:link w:val="TekstkomentarzaZnak"/>
    <w:uiPriority w:val="99"/>
    <w:semiHidden/>
    <w:unhideWhenUsed/>
    <w:rsid w:val="00F4458F"/>
    <w:rPr>
      <w:sz w:val="20"/>
      <w:szCs w:val="20"/>
    </w:rPr>
  </w:style>
  <w:style w:type="character" w:customStyle="1" w:styleId="TekstkomentarzaZnak">
    <w:name w:val="Tekst komentarza Znak"/>
    <w:basedOn w:val="Domylnaczcionkaakapitu"/>
    <w:link w:val="Tekstkomentarza"/>
    <w:uiPriority w:val="99"/>
    <w:semiHidden/>
    <w:rsid w:val="00F4458F"/>
    <w:rPr>
      <w:rFonts w:ascii="Times New Roman" w:eastAsia="Times New Roman" w:hAnsi="Times New Roman"/>
      <w:kern w:val="0"/>
      <w:sz w:val="20"/>
      <w:szCs w:val="20"/>
      <w:lang w:eastAsia="ar-SA"/>
    </w:rPr>
  </w:style>
  <w:style w:type="paragraph" w:styleId="Tematkomentarza">
    <w:name w:val="annotation subject"/>
    <w:basedOn w:val="Tekstkomentarza"/>
    <w:next w:val="Tekstkomentarza"/>
    <w:link w:val="TematkomentarzaZnak"/>
    <w:uiPriority w:val="99"/>
    <w:semiHidden/>
    <w:unhideWhenUsed/>
    <w:rsid w:val="00F4458F"/>
    <w:rPr>
      <w:b/>
      <w:bCs/>
    </w:rPr>
  </w:style>
  <w:style w:type="character" w:customStyle="1" w:styleId="TematkomentarzaZnak">
    <w:name w:val="Temat komentarza Znak"/>
    <w:basedOn w:val="TekstkomentarzaZnak"/>
    <w:link w:val="Tematkomentarza"/>
    <w:uiPriority w:val="99"/>
    <w:semiHidden/>
    <w:rsid w:val="00F4458F"/>
    <w:rPr>
      <w:rFonts w:ascii="Times New Roman" w:eastAsia="Times New Roman" w:hAnsi="Times New Roman"/>
      <w:b/>
      <w:bCs/>
      <w:kern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2717E-E6DE-7F47-ACA9-56863E5E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5449</Words>
  <Characters>32696</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Olgierd Zaraś</dc:creator>
  <dc:description/>
  <cp:lastModifiedBy>Dariusz Folwarczny</cp:lastModifiedBy>
  <cp:revision>4</cp:revision>
  <cp:lastPrinted>2024-06-27T12:52:00Z</cp:lastPrinted>
  <dcterms:created xsi:type="dcterms:W3CDTF">2024-07-19T08:45:00Z</dcterms:created>
  <dcterms:modified xsi:type="dcterms:W3CDTF">2024-07-19T11:41:00Z</dcterms:modified>
</cp:coreProperties>
</file>