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940A71" w:rsidRPr="003355C8">
        <w:rPr>
          <w:rFonts w:ascii="Arial" w:hAnsi="Arial" w:cs="Arial"/>
          <w:b/>
          <w:sz w:val="20"/>
        </w:rPr>
        <w:t>1</w:t>
      </w:r>
      <w:r w:rsidR="003355C8" w:rsidRPr="003355C8">
        <w:rPr>
          <w:rFonts w:ascii="Arial" w:hAnsi="Arial" w:cs="Arial"/>
          <w:b/>
          <w:sz w:val="20"/>
        </w:rPr>
        <w:t>7</w:t>
      </w:r>
      <w:r w:rsidRPr="003355C8">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940A71">
        <w:rPr>
          <w:rFonts w:ascii="Arial" w:hAnsi="Arial" w:cs="Arial"/>
          <w:b/>
          <w:sz w:val="20"/>
        </w:rPr>
        <w:t>3</w:t>
      </w:r>
      <w:r w:rsidRPr="00020372">
        <w:rPr>
          <w:rFonts w:ascii="Arial" w:hAnsi="Arial" w:cs="Arial"/>
          <w:sz w:val="20"/>
        </w:rPr>
        <w:tab/>
      </w:r>
    </w:p>
    <w:p w:rsidR="00C84C17" w:rsidRPr="00020372" w:rsidRDefault="000E7B38" w:rsidP="00C84C17">
      <w:pPr>
        <w:pStyle w:val="Tytu"/>
        <w:rPr>
          <w:rFonts w:ascii="Arial" w:hAnsi="Arial"/>
          <w:sz w:val="20"/>
          <w:szCs w:val="20"/>
        </w:rPr>
      </w:pPr>
      <w:r>
        <w:rPr>
          <w:rFonts w:ascii="Arial" w:hAnsi="Arial"/>
          <w:sz w:val="20"/>
          <w:szCs w:val="20"/>
        </w:rPr>
        <w:t xml:space="preserve"> </w:t>
      </w: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C84C17" w:rsidRPr="00206BD6" w:rsidRDefault="0070205F" w:rsidP="00206BD6">
      <w:pPr>
        <w:jc w:val="center"/>
        <w:rPr>
          <w:rFonts w:ascii="Arial" w:hAnsi="Arial" w:cs="Arial"/>
          <w:b/>
        </w:rPr>
      </w:pPr>
      <w:r w:rsidRPr="00206BD6">
        <w:rPr>
          <w:rFonts w:ascii="Arial" w:hAnsi="Arial" w:cs="Arial"/>
          <w:b/>
        </w:rPr>
        <w:t>„</w:t>
      </w:r>
      <w:r w:rsidR="00EA079A">
        <w:rPr>
          <w:rFonts w:ascii="Arial" w:eastAsia="Calibri" w:hAnsi="Arial" w:cs="Arial"/>
          <w:b/>
          <w:lang w:eastAsia="en-US"/>
        </w:rPr>
        <w:t>Budowa sieci wodociągowej, kanalizacji sanitarnej i deszczowej wraz z odbudową nawierzchni dróg na terenie Rabki-Zdroju</w:t>
      </w:r>
      <w:r w:rsidR="00121EF6" w:rsidRPr="00206BD6">
        <w:rPr>
          <w:rFonts w:ascii="Arial" w:hAnsi="Arial" w:cs="Arial"/>
          <w:b/>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29561F" w:rsidRPr="00206BD6" w:rsidRDefault="0029561F" w:rsidP="00206BD6">
      <w:pPr>
        <w:pStyle w:val="Default1"/>
        <w:tabs>
          <w:tab w:val="left" w:pos="1"/>
        </w:tabs>
        <w:spacing w:line="276" w:lineRule="auto"/>
        <w:ind w:left="284" w:hanging="426"/>
        <w:jc w:val="center"/>
        <w:rPr>
          <w:rFonts w:ascii="Arial" w:hAnsi="Arial" w:cs="Arial"/>
          <w:b/>
          <w:sz w:val="22"/>
          <w:szCs w:val="22"/>
        </w:rPr>
      </w:pPr>
      <w:r w:rsidRPr="00206BD6">
        <w:rPr>
          <w:rFonts w:ascii="Arial" w:hAnsi="Arial" w:cs="Arial"/>
          <w:b/>
          <w:sz w:val="22"/>
          <w:szCs w:val="22"/>
        </w:rPr>
        <w:t>Zamówienie jest finansowane z Programu Rządowego Fundusz Polski Ład: Program Inwestycji Strategicznych oraz z środków Gminy Rabka-Zdrój</w:t>
      </w: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rsidR="00642650" w:rsidRPr="00D71BE7" w:rsidRDefault="00642650" w:rsidP="0070205F">
      <w:pPr>
        <w:jc w:val="center"/>
        <w:rPr>
          <w:rFonts w:ascii="Arial" w:hAnsi="Arial" w:cs="Arial"/>
          <w:b/>
          <w:sz w:val="20"/>
          <w:szCs w:val="20"/>
        </w:rPr>
      </w:pPr>
    </w:p>
    <w:p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3F61" w:rsidRPr="005B3F61" w:rsidRDefault="00FB731F">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5B3F61" w:rsidRPr="005B3F61">
          <w:rPr>
            <w:rStyle w:val="Hipercze"/>
            <w:rFonts w:ascii="Arial" w:hAnsi="Arial" w:cs="Arial"/>
            <w:noProof/>
            <w:sz w:val="20"/>
            <w:highlight w:val="lightGray"/>
          </w:rPr>
          <w:t>1.</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Nazwa (firma) oraz adres Zamawiającego</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3</w:t>
        </w:r>
        <w:r w:rsidRPr="005B3F61">
          <w:rPr>
            <w:rFonts w:ascii="Arial" w:hAnsi="Arial" w:cs="Arial"/>
            <w:noProof/>
            <w:webHidden/>
            <w:sz w:val="20"/>
          </w:rPr>
          <w:fldChar w:fldCharType="end"/>
        </w:r>
      </w:hyperlink>
    </w:p>
    <w:p w:rsidR="005B3F61" w:rsidRPr="005B3F61" w:rsidRDefault="00FB731F">
      <w:pPr>
        <w:pStyle w:val="Spistreci1"/>
        <w:tabs>
          <w:tab w:val="left" w:pos="440"/>
          <w:tab w:val="right" w:leader="dot" w:pos="9288"/>
        </w:tabs>
        <w:rPr>
          <w:rFonts w:ascii="Arial" w:eastAsiaTheme="minorEastAsia" w:hAnsi="Arial" w:cs="Arial"/>
          <w:noProof/>
          <w:sz w:val="18"/>
          <w:szCs w:val="22"/>
        </w:rPr>
      </w:pPr>
      <w:hyperlink w:anchor="_Toc125973638" w:history="1">
        <w:r w:rsidR="005B3F61" w:rsidRPr="005B3F61">
          <w:rPr>
            <w:rStyle w:val="Hipercze"/>
            <w:rFonts w:ascii="Arial" w:hAnsi="Arial" w:cs="Arial"/>
            <w:noProof/>
            <w:sz w:val="20"/>
            <w:highlight w:val="lightGray"/>
          </w:rPr>
          <w:t>2.</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Ochrona danych osobowych</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3</w:t>
        </w:r>
        <w:r w:rsidRPr="005B3F61">
          <w:rPr>
            <w:rFonts w:ascii="Arial" w:hAnsi="Arial" w:cs="Arial"/>
            <w:noProof/>
            <w:webHidden/>
            <w:sz w:val="20"/>
          </w:rPr>
          <w:fldChar w:fldCharType="end"/>
        </w:r>
      </w:hyperlink>
    </w:p>
    <w:p w:rsidR="005B3F61" w:rsidRPr="005B3F61" w:rsidRDefault="00FB731F">
      <w:pPr>
        <w:pStyle w:val="Spistreci1"/>
        <w:tabs>
          <w:tab w:val="left" w:pos="440"/>
          <w:tab w:val="right" w:leader="dot" w:pos="9288"/>
        </w:tabs>
        <w:rPr>
          <w:rFonts w:ascii="Arial" w:eastAsiaTheme="minorEastAsia" w:hAnsi="Arial" w:cs="Arial"/>
          <w:noProof/>
          <w:sz w:val="18"/>
          <w:szCs w:val="22"/>
        </w:rPr>
      </w:pPr>
      <w:hyperlink w:anchor="_Toc125973639" w:history="1">
        <w:r w:rsidR="005B3F61" w:rsidRPr="005B3F61">
          <w:rPr>
            <w:rStyle w:val="Hipercze"/>
            <w:rFonts w:ascii="Arial" w:hAnsi="Arial" w:cs="Arial"/>
            <w:noProof/>
            <w:sz w:val="20"/>
            <w:highlight w:val="lightGray"/>
          </w:rPr>
          <w:t>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Tryb udzielenia zamówienia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4</w:t>
        </w:r>
        <w:r w:rsidRPr="005B3F61">
          <w:rPr>
            <w:rFonts w:ascii="Arial" w:hAnsi="Arial" w:cs="Arial"/>
            <w:noProof/>
            <w:webHidden/>
            <w:sz w:val="20"/>
          </w:rPr>
          <w:fldChar w:fldCharType="end"/>
        </w:r>
      </w:hyperlink>
    </w:p>
    <w:p w:rsidR="005B3F61" w:rsidRPr="005B3F61" w:rsidRDefault="00FB731F">
      <w:pPr>
        <w:pStyle w:val="Spistreci1"/>
        <w:tabs>
          <w:tab w:val="left" w:pos="440"/>
          <w:tab w:val="right" w:leader="dot" w:pos="9288"/>
        </w:tabs>
        <w:rPr>
          <w:rFonts w:ascii="Arial" w:eastAsiaTheme="minorEastAsia" w:hAnsi="Arial" w:cs="Arial"/>
          <w:noProof/>
          <w:sz w:val="18"/>
          <w:szCs w:val="22"/>
        </w:rPr>
      </w:pPr>
      <w:hyperlink w:anchor="_Toc125973640" w:history="1">
        <w:r w:rsidR="005B3F61" w:rsidRPr="005B3F61">
          <w:rPr>
            <w:rStyle w:val="Hipercze"/>
            <w:rFonts w:ascii="Arial" w:hAnsi="Arial" w:cs="Arial"/>
            <w:noProof/>
            <w:sz w:val="20"/>
            <w:highlight w:val="lightGray"/>
          </w:rPr>
          <w:t>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Opis przedmiotu zamówienia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4</w:t>
        </w:r>
        <w:r w:rsidRPr="005B3F61">
          <w:rPr>
            <w:rFonts w:ascii="Arial" w:hAnsi="Arial" w:cs="Arial"/>
            <w:noProof/>
            <w:webHidden/>
            <w:sz w:val="20"/>
          </w:rPr>
          <w:fldChar w:fldCharType="end"/>
        </w:r>
      </w:hyperlink>
    </w:p>
    <w:p w:rsidR="005B3F61" w:rsidRPr="005B3F61" w:rsidRDefault="00FB731F">
      <w:pPr>
        <w:pStyle w:val="Spistreci1"/>
        <w:tabs>
          <w:tab w:val="left" w:pos="440"/>
          <w:tab w:val="right" w:leader="dot" w:pos="9288"/>
        </w:tabs>
        <w:rPr>
          <w:rFonts w:ascii="Arial" w:eastAsiaTheme="minorEastAsia" w:hAnsi="Arial" w:cs="Arial"/>
          <w:noProof/>
          <w:sz w:val="18"/>
          <w:szCs w:val="22"/>
        </w:rPr>
      </w:pPr>
      <w:hyperlink w:anchor="_Toc125973641" w:history="1">
        <w:r w:rsidR="005B3F61" w:rsidRPr="005B3F61">
          <w:rPr>
            <w:rStyle w:val="Hipercze"/>
            <w:rFonts w:ascii="Arial" w:hAnsi="Arial" w:cs="Arial"/>
            <w:noProof/>
            <w:sz w:val="20"/>
            <w:highlight w:val="lightGray"/>
          </w:rPr>
          <w:t>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WIZJA LOKALNA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6</w:t>
        </w:r>
        <w:r w:rsidRPr="005B3F61">
          <w:rPr>
            <w:rFonts w:ascii="Arial" w:hAnsi="Arial" w:cs="Arial"/>
            <w:noProof/>
            <w:webHidden/>
            <w:sz w:val="20"/>
          </w:rPr>
          <w:fldChar w:fldCharType="end"/>
        </w:r>
      </w:hyperlink>
    </w:p>
    <w:p w:rsidR="005B3F61" w:rsidRPr="005B3F61" w:rsidRDefault="00FB731F">
      <w:pPr>
        <w:pStyle w:val="Spistreci1"/>
        <w:tabs>
          <w:tab w:val="left" w:pos="440"/>
          <w:tab w:val="right" w:leader="dot" w:pos="9288"/>
        </w:tabs>
        <w:rPr>
          <w:rFonts w:ascii="Arial" w:eastAsiaTheme="minorEastAsia" w:hAnsi="Arial" w:cs="Arial"/>
          <w:noProof/>
          <w:sz w:val="18"/>
          <w:szCs w:val="22"/>
        </w:rPr>
      </w:pPr>
      <w:hyperlink w:anchor="_Toc125973642" w:history="1">
        <w:r w:rsidR="005B3F61" w:rsidRPr="005B3F61">
          <w:rPr>
            <w:rStyle w:val="Hipercze"/>
            <w:rFonts w:ascii="Arial" w:hAnsi="Arial" w:cs="Arial"/>
            <w:noProof/>
            <w:sz w:val="20"/>
            <w:highlight w:val="lightGray"/>
          </w:rPr>
          <w:t>6.</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PODWYKONAWSTWO</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6</w:t>
        </w:r>
        <w:r w:rsidRPr="005B3F61">
          <w:rPr>
            <w:rFonts w:ascii="Arial" w:hAnsi="Arial" w:cs="Arial"/>
            <w:noProof/>
            <w:webHidden/>
            <w:sz w:val="20"/>
          </w:rPr>
          <w:fldChar w:fldCharType="end"/>
        </w:r>
      </w:hyperlink>
    </w:p>
    <w:p w:rsidR="005B3F61" w:rsidRPr="005B3F61" w:rsidRDefault="00FB731F">
      <w:pPr>
        <w:pStyle w:val="Spistreci1"/>
        <w:tabs>
          <w:tab w:val="left" w:pos="440"/>
          <w:tab w:val="right" w:leader="dot" w:pos="9288"/>
        </w:tabs>
        <w:rPr>
          <w:rFonts w:ascii="Arial" w:eastAsiaTheme="minorEastAsia" w:hAnsi="Arial" w:cs="Arial"/>
          <w:noProof/>
          <w:sz w:val="18"/>
          <w:szCs w:val="22"/>
        </w:rPr>
      </w:pPr>
      <w:hyperlink w:anchor="_Toc125973643" w:history="1">
        <w:r w:rsidR="005B3F61" w:rsidRPr="005B3F61">
          <w:rPr>
            <w:rStyle w:val="Hipercze"/>
            <w:rFonts w:ascii="Arial" w:hAnsi="Arial" w:cs="Arial"/>
            <w:noProof/>
            <w:sz w:val="20"/>
            <w:highlight w:val="lightGray"/>
          </w:rPr>
          <w:t>7.</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INNE POSTANOWIENIA: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6</w:t>
        </w:r>
        <w:r w:rsidRPr="005B3F61">
          <w:rPr>
            <w:rFonts w:ascii="Arial" w:hAnsi="Arial" w:cs="Arial"/>
            <w:noProof/>
            <w:webHidden/>
            <w:sz w:val="20"/>
          </w:rPr>
          <w:fldChar w:fldCharType="end"/>
        </w:r>
      </w:hyperlink>
    </w:p>
    <w:p w:rsidR="005B3F61" w:rsidRPr="005B3F61" w:rsidRDefault="00FB731F">
      <w:pPr>
        <w:pStyle w:val="Spistreci1"/>
        <w:tabs>
          <w:tab w:val="left" w:pos="440"/>
          <w:tab w:val="right" w:leader="dot" w:pos="9288"/>
        </w:tabs>
        <w:rPr>
          <w:rFonts w:ascii="Arial" w:eastAsiaTheme="minorEastAsia" w:hAnsi="Arial" w:cs="Arial"/>
          <w:noProof/>
          <w:sz w:val="18"/>
          <w:szCs w:val="22"/>
        </w:rPr>
      </w:pPr>
      <w:hyperlink w:anchor="_Toc125973644" w:history="1">
        <w:r w:rsidR="005B3F61" w:rsidRPr="005B3F61">
          <w:rPr>
            <w:rStyle w:val="Hipercze"/>
            <w:rFonts w:ascii="Arial" w:hAnsi="Arial" w:cs="Arial"/>
            <w:noProof/>
            <w:sz w:val="20"/>
            <w:highlight w:val="lightGray"/>
          </w:rPr>
          <w:t>8.</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Termin wykonania zamówienia.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8</w:t>
        </w:r>
        <w:r w:rsidRPr="005B3F61">
          <w:rPr>
            <w:rFonts w:ascii="Arial" w:hAnsi="Arial" w:cs="Arial"/>
            <w:noProof/>
            <w:webHidden/>
            <w:sz w:val="20"/>
          </w:rPr>
          <w:fldChar w:fldCharType="end"/>
        </w:r>
      </w:hyperlink>
    </w:p>
    <w:p w:rsidR="005B3F61" w:rsidRPr="005B3F61" w:rsidRDefault="00FB731F">
      <w:pPr>
        <w:pStyle w:val="Spistreci1"/>
        <w:tabs>
          <w:tab w:val="left" w:pos="440"/>
          <w:tab w:val="right" w:leader="dot" w:pos="9288"/>
        </w:tabs>
        <w:rPr>
          <w:rFonts w:ascii="Arial" w:eastAsiaTheme="minorEastAsia" w:hAnsi="Arial" w:cs="Arial"/>
          <w:noProof/>
          <w:sz w:val="18"/>
          <w:szCs w:val="22"/>
        </w:rPr>
      </w:pPr>
      <w:hyperlink w:anchor="_Toc125973645" w:history="1">
        <w:r w:rsidR="005B3F61" w:rsidRPr="005B3F61">
          <w:rPr>
            <w:rStyle w:val="Hipercze"/>
            <w:rFonts w:ascii="Arial" w:hAnsi="Arial" w:cs="Arial"/>
            <w:noProof/>
            <w:sz w:val="20"/>
            <w:highlight w:val="lightGray"/>
          </w:rPr>
          <w:t>9.</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Warunki udziału w postępowaniu I podstawy WYKLUCZENIA.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8</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46" w:history="1">
        <w:r w:rsidR="005B3F61" w:rsidRPr="005B3F61">
          <w:rPr>
            <w:rStyle w:val="Hipercze"/>
            <w:rFonts w:ascii="Arial" w:hAnsi="Arial" w:cs="Arial"/>
            <w:noProof/>
            <w:sz w:val="20"/>
          </w:rPr>
          <w:t>10.</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PODSTAWY WYKLUCZENIA Z POSTĘPOWANIA.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10</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47" w:history="1">
        <w:r w:rsidR="005B3F61" w:rsidRPr="005B3F61">
          <w:rPr>
            <w:rStyle w:val="Hipercze"/>
            <w:rFonts w:ascii="Arial" w:hAnsi="Arial" w:cs="Arial"/>
            <w:noProof/>
            <w:sz w:val="20"/>
            <w:highlight w:val="lightGray"/>
          </w:rPr>
          <w:t>11.</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12</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48" w:history="1">
        <w:r w:rsidR="005B3F61" w:rsidRPr="005B3F61">
          <w:rPr>
            <w:rStyle w:val="Hipercze"/>
            <w:rFonts w:ascii="Arial" w:hAnsi="Arial" w:cs="Arial"/>
            <w:noProof/>
            <w:sz w:val="20"/>
            <w:highlight w:val="lightGray"/>
          </w:rPr>
          <w:t>12.</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POLEGANIE NA ZASOBACH INNYCH PODMIOTÓW.</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13</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49" w:history="1">
        <w:r w:rsidR="005B3F61" w:rsidRPr="005B3F61">
          <w:rPr>
            <w:rStyle w:val="Hipercze"/>
            <w:rFonts w:ascii="Arial" w:hAnsi="Arial" w:cs="Arial"/>
            <w:noProof/>
            <w:sz w:val="20"/>
            <w:highlight w:val="lightGray"/>
          </w:rPr>
          <w:t>13.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INFORMACJA DLA WYKONAWCÓW WSPÓLNIE UBIEGAJĄCYCH się O UDZIELENIE ZAMÓWIENIA (NP. SPÓŁKI CYWILNE/KONSORCJA).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13</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0" w:history="1">
        <w:r w:rsidR="005B3F61" w:rsidRPr="005B3F61">
          <w:rPr>
            <w:rStyle w:val="Hipercze"/>
            <w:rFonts w:ascii="Arial" w:hAnsi="Arial" w:cs="Arial"/>
            <w:noProof/>
            <w:sz w:val="20"/>
            <w:highlight w:val="lightGray"/>
          </w:rPr>
          <w:t>14.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SPOSÓB KOMUNIKACJI ORAZ WYJAŚNIENIA TREŚCI SWZ.</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13</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1" w:history="1">
        <w:r w:rsidR="005B3F61" w:rsidRPr="005B3F61">
          <w:rPr>
            <w:rStyle w:val="Hipercze"/>
            <w:rFonts w:ascii="Arial" w:hAnsi="Arial" w:cs="Arial"/>
            <w:noProof/>
            <w:sz w:val="20"/>
            <w:highlight w:val="lightGray"/>
          </w:rPr>
          <w:t>15.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OPIS SPOSOBU PRZYGOTOWANIA OFERT ORAZ WYMAGANIA FORMALNE DOTYCZACE SKŁADANYCH OŚWIADCZEŃ I DOKUMENTÓW.</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15</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2" w:history="1">
        <w:r w:rsidR="005B3F61" w:rsidRPr="005B3F61">
          <w:rPr>
            <w:rStyle w:val="Hipercze"/>
            <w:rFonts w:ascii="Arial" w:hAnsi="Arial" w:cs="Arial"/>
            <w:noProof/>
            <w:sz w:val="20"/>
            <w:highlight w:val="lightGray"/>
          </w:rPr>
          <w:t>16.</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SPOSÓB OBLICZENIA CENY OFERTY.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16</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3" w:history="1">
        <w:r w:rsidR="005B3F61" w:rsidRPr="005B3F61">
          <w:rPr>
            <w:rStyle w:val="Hipercze"/>
            <w:rFonts w:ascii="Arial" w:hAnsi="Arial" w:cs="Arial"/>
            <w:noProof/>
            <w:sz w:val="20"/>
          </w:rPr>
          <w:t>17.</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Wymagania dotycz</w:t>
        </w:r>
        <w:r w:rsidR="005B3F61" w:rsidRPr="005B3F61">
          <w:rPr>
            <w:rStyle w:val="Hipercze"/>
            <w:rFonts w:ascii="Arial" w:eastAsia="TimesNewRoman" w:hAnsi="Arial" w:cs="Arial"/>
            <w:noProof/>
            <w:sz w:val="20"/>
            <w:highlight w:val="lightGray"/>
          </w:rPr>
          <w:t>ą</w:t>
        </w:r>
        <w:r w:rsidR="005B3F61" w:rsidRPr="005B3F61">
          <w:rPr>
            <w:rStyle w:val="Hipercze"/>
            <w:rFonts w:ascii="Arial" w:hAnsi="Arial" w:cs="Arial"/>
            <w:noProof/>
            <w:sz w:val="20"/>
            <w:highlight w:val="lightGray"/>
          </w:rPr>
          <w:t>ce wadium</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16</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4" w:history="1">
        <w:r w:rsidR="005B3F61" w:rsidRPr="005B3F61">
          <w:rPr>
            <w:rStyle w:val="Hipercze"/>
            <w:rFonts w:ascii="Arial" w:hAnsi="Arial" w:cs="Arial"/>
            <w:noProof/>
            <w:sz w:val="20"/>
            <w:highlight w:val="lightGray"/>
          </w:rPr>
          <w:t>18.</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TERMIN ZWIĄZANIA OFERTĄ.</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16</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5" w:history="1">
        <w:r w:rsidR="005B3F61" w:rsidRPr="005B3F61">
          <w:rPr>
            <w:rStyle w:val="Hipercze"/>
            <w:rFonts w:ascii="Arial" w:hAnsi="Arial" w:cs="Arial"/>
            <w:noProof/>
            <w:sz w:val="20"/>
            <w:highlight w:val="lightGray"/>
          </w:rPr>
          <w:t>19.</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SPOSÓB I TERMIN SKŁADANIA I OTWARCIA OFERT</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17</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6" w:history="1">
        <w:r w:rsidR="005B3F61" w:rsidRPr="005B3F61">
          <w:rPr>
            <w:rStyle w:val="Hipercze"/>
            <w:rFonts w:ascii="Arial" w:hAnsi="Arial" w:cs="Arial"/>
            <w:noProof/>
            <w:sz w:val="20"/>
            <w:highlight w:val="lightGray"/>
          </w:rPr>
          <w:t>20.</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OPIS KRYTERIÓW OCENY OFERT, WRAZ Z PODANIEM WAG KRYTERIÓW I SPOSOBU OCENY OFERT.</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17</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7" w:history="1">
        <w:r w:rsidR="005B3F61" w:rsidRPr="005B3F61">
          <w:rPr>
            <w:rStyle w:val="Hipercze"/>
            <w:rFonts w:ascii="Arial" w:hAnsi="Arial" w:cs="Arial"/>
            <w:noProof/>
            <w:sz w:val="20"/>
            <w:highlight w:val="lightGray"/>
          </w:rPr>
          <w:t>21.</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18</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8" w:history="1">
        <w:r w:rsidR="005B3F61" w:rsidRPr="005B3F61">
          <w:rPr>
            <w:rStyle w:val="Hipercze"/>
            <w:rFonts w:ascii="Arial" w:hAnsi="Arial" w:cs="Arial"/>
            <w:noProof/>
            <w:sz w:val="20"/>
            <w:highlight w:val="lightGray"/>
          </w:rPr>
          <w:t>22.</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Wymagania dotycz</w:t>
        </w:r>
        <w:r w:rsidR="005B3F61" w:rsidRPr="005B3F61">
          <w:rPr>
            <w:rStyle w:val="Hipercze"/>
            <w:rFonts w:ascii="Arial" w:eastAsia="TimesNewRoman" w:hAnsi="Arial" w:cs="Arial"/>
            <w:noProof/>
            <w:sz w:val="20"/>
            <w:highlight w:val="lightGray"/>
          </w:rPr>
          <w:t>ą</w:t>
        </w:r>
        <w:r w:rsidR="005B3F61" w:rsidRPr="005B3F61">
          <w:rPr>
            <w:rStyle w:val="Hipercze"/>
            <w:rFonts w:ascii="Arial" w:hAnsi="Arial" w:cs="Arial"/>
            <w:noProof/>
            <w:sz w:val="20"/>
            <w:highlight w:val="lightGray"/>
          </w:rPr>
          <w:t>ce zabezpieczenia nale</w:t>
        </w:r>
        <w:r w:rsidR="005B3F61" w:rsidRPr="005B3F61">
          <w:rPr>
            <w:rStyle w:val="Hipercze"/>
            <w:rFonts w:ascii="Arial" w:eastAsia="TimesNewRoman" w:hAnsi="Arial" w:cs="Arial"/>
            <w:noProof/>
            <w:sz w:val="20"/>
            <w:highlight w:val="lightGray"/>
          </w:rPr>
          <w:t>ż</w:t>
        </w:r>
        <w:r w:rsidR="005B3F61" w:rsidRPr="005B3F61">
          <w:rPr>
            <w:rStyle w:val="Hipercze"/>
            <w:rFonts w:ascii="Arial" w:hAnsi="Arial" w:cs="Arial"/>
            <w:noProof/>
            <w:sz w:val="20"/>
            <w:highlight w:val="lightGray"/>
          </w:rPr>
          <w:t>ytego wykonania umowy.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18</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19</w:t>
        </w:r>
        <w:r w:rsidRPr="005B3F61">
          <w:rPr>
            <w:rFonts w:ascii="Arial" w:hAnsi="Arial" w:cs="Arial"/>
            <w:noProof/>
            <w:webHidden/>
            <w:sz w:val="20"/>
          </w:rPr>
          <w:fldChar w:fldCharType="end"/>
        </w:r>
      </w:hyperlink>
    </w:p>
    <w:p w:rsidR="005B3F61" w:rsidRPr="005B3F61" w:rsidRDefault="00FB731F">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20</w:t>
        </w:r>
        <w:r w:rsidRPr="005B3F61">
          <w:rPr>
            <w:rFonts w:ascii="Arial" w:hAnsi="Arial" w:cs="Arial"/>
            <w:noProof/>
            <w:webHidden/>
            <w:sz w:val="20"/>
          </w:rPr>
          <w:fldChar w:fldCharType="end"/>
        </w:r>
      </w:hyperlink>
    </w:p>
    <w:p w:rsidR="005B3F61" w:rsidRDefault="00FB731F">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20</w:t>
        </w:r>
        <w:r w:rsidRPr="005B3F61">
          <w:rPr>
            <w:rFonts w:ascii="Arial" w:hAnsi="Arial" w:cs="Arial"/>
            <w:noProof/>
            <w:webHidden/>
            <w:sz w:val="20"/>
          </w:rPr>
          <w:fldChar w:fldCharType="end"/>
        </w:r>
      </w:hyperlink>
    </w:p>
    <w:p w:rsidR="00EA428B" w:rsidRPr="00311F52" w:rsidRDefault="00FB731F">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5973637"/>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rsidR="00695190" w:rsidRPr="00D71BE7" w:rsidRDefault="00695190" w:rsidP="001644FA">
      <w:pPr>
        <w:pStyle w:val="Tekstpodstawowy"/>
        <w:spacing w:after="0" w:line="276" w:lineRule="auto"/>
        <w:ind w:left="360"/>
        <w:rPr>
          <w:rFonts w:ascii="Arial" w:hAnsi="Arial" w:cs="Arial"/>
          <w:b/>
          <w:sz w:val="20"/>
          <w:szCs w:val="20"/>
        </w:rPr>
      </w:pPr>
    </w:p>
    <w:p w:rsidR="009B05F0" w:rsidRPr="00D71BE7" w:rsidRDefault="00FB731F"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rsidR="00625708" w:rsidRPr="00020372" w:rsidRDefault="00625708" w:rsidP="000C6F7A">
      <w:pPr>
        <w:pStyle w:val="Nagwek1"/>
        <w:rPr>
          <w:rFonts w:ascii="Arial" w:hAnsi="Arial" w:cs="Arial"/>
          <w:sz w:val="20"/>
          <w:szCs w:val="20"/>
          <w:highlight w:val="lightGray"/>
        </w:rPr>
      </w:pPr>
      <w:bookmarkStart w:id="2" w:name="_Toc125973638"/>
      <w:bookmarkStart w:id="3" w:name="_Toc258314243"/>
      <w:r w:rsidRPr="00020372">
        <w:rPr>
          <w:rFonts w:ascii="Arial" w:hAnsi="Arial" w:cs="Arial"/>
          <w:sz w:val="20"/>
          <w:szCs w:val="20"/>
          <w:highlight w:val="lightGray"/>
        </w:rPr>
        <w:t>Ochrona danych osobowych</w:t>
      </w:r>
      <w:bookmarkEnd w:id="2"/>
    </w:p>
    <w:p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AC3CB5" w:rsidRPr="00AC3CB5">
        <w:rPr>
          <w:rFonts w:ascii="Arial" w:hAnsi="Arial" w:cs="Arial"/>
          <w:b/>
          <w:sz w:val="20"/>
          <w:szCs w:val="20"/>
        </w:rPr>
        <w:t>17</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1023DF" w:rsidRPr="001023DF">
        <w:rPr>
          <w:rFonts w:ascii="Arial" w:hAnsi="Arial" w:cs="Arial"/>
          <w:b/>
          <w:sz w:val="20"/>
          <w:szCs w:val="20"/>
        </w:rPr>
        <w:t>Budowa sieci wodociągowej, kanalizacji sanitarnej i deszczowej wraz z odbudową nawierzchni dróg na terenie Rabki-Zdroju</w:t>
      </w:r>
      <w:r w:rsidR="00500207" w:rsidRPr="00AC3CB5">
        <w:rPr>
          <w:rFonts w:ascii="Arial" w:hAnsi="Arial" w:cs="Arial"/>
          <w:b/>
          <w:sz w:val="20"/>
          <w:szCs w:val="20"/>
        </w:rPr>
        <w:t>”</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5973639"/>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rsidR="0053364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C63F11" w:rsidRPr="00E32D38" w:rsidRDefault="00C63F11" w:rsidP="00C63F11">
      <w:pPr>
        <w:spacing w:before="120" w:after="120"/>
        <w:jc w:val="both"/>
        <w:rPr>
          <w:rFonts w:ascii="Arial" w:hAnsi="Arial" w:cs="Arial"/>
          <w:b/>
          <w:sz w:val="20"/>
          <w:szCs w:val="20"/>
        </w:rPr>
      </w:pPr>
      <w:r w:rsidRPr="00E32D38">
        <w:rPr>
          <w:rFonts w:ascii="Arial" w:hAnsi="Arial" w:cs="Arial"/>
          <w:b/>
          <w:sz w:val="20"/>
          <w:szCs w:val="20"/>
        </w:rPr>
        <w:t>3.5. Dokumenty</w:t>
      </w:r>
      <w:r w:rsidR="00600187">
        <w:rPr>
          <w:rFonts w:ascii="Arial" w:hAnsi="Arial" w:cs="Arial"/>
          <w:b/>
          <w:sz w:val="20"/>
          <w:szCs w:val="20"/>
        </w:rPr>
        <w:t xml:space="preserve"> oraz</w:t>
      </w:r>
      <w:r w:rsidRPr="00E32D38">
        <w:rPr>
          <w:rFonts w:ascii="Arial" w:hAnsi="Arial" w:cs="Arial"/>
          <w:b/>
          <w:sz w:val="20"/>
          <w:szCs w:val="20"/>
        </w:rPr>
        <w:t xml:space="preserve"> informacje dot</w:t>
      </w:r>
      <w:r w:rsidR="00600187">
        <w:rPr>
          <w:rFonts w:ascii="Arial" w:hAnsi="Arial" w:cs="Arial"/>
          <w:b/>
          <w:sz w:val="20"/>
          <w:szCs w:val="20"/>
        </w:rPr>
        <w:t>yczące</w:t>
      </w:r>
      <w:r w:rsidRPr="00E32D38">
        <w:rPr>
          <w:rFonts w:ascii="Arial" w:hAnsi="Arial" w:cs="Arial"/>
          <w:b/>
          <w:sz w:val="20"/>
          <w:szCs w:val="20"/>
        </w:rPr>
        <w:t xml:space="preserve"> Rządowego Funduszu Polski Ład: Program Inwestycji Strategicznych dostępny jest na stronie internetowej: https://www.b</w:t>
      </w:r>
      <w:r w:rsidR="00600187">
        <w:rPr>
          <w:rFonts w:ascii="Arial" w:hAnsi="Arial" w:cs="Arial"/>
          <w:b/>
          <w:sz w:val="20"/>
          <w:szCs w:val="20"/>
        </w:rPr>
        <w:t xml:space="preserve">gk.pl/polski-lad/edycja-druga/ </w:t>
      </w:r>
    </w:p>
    <w:p w:rsidR="00EB7871" w:rsidRPr="00020372" w:rsidRDefault="00F23594" w:rsidP="000C6F7A">
      <w:pPr>
        <w:pStyle w:val="Nagwek1"/>
        <w:rPr>
          <w:rFonts w:ascii="Arial" w:hAnsi="Arial" w:cs="Arial"/>
          <w:sz w:val="20"/>
          <w:szCs w:val="20"/>
          <w:highlight w:val="lightGray"/>
        </w:rPr>
      </w:pPr>
      <w:bookmarkStart w:id="6" w:name="_Toc125973640"/>
      <w:r w:rsidRPr="00020372">
        <w:rPr>
          <w:rFonts w:ascii="Arial" w:hAnsi="Arial" w:cs="Arial"/>
          <w:sz w:val="20"/>
          <w:szCs w:val="20"/>
          <w:highlight w:val="lightGray"/>
        </w:rPr>
        <w:t>Opis przedmiotu zamówienia</w:t>
      </w:r>
      <w:bookmarkEnd w:id="5"/>
      <w:bookmarkEnd w:id="6"/>
    </w:p>
    <w:p w:rsidR="00D657CA" w:rsidRPr="007F13A2" w:rsidRDefault="00D657CA" w:rsidP="00FF3713">
      <w:pPr>
        <w:pStyle w:val="Nagwek2"/>
      </w:pPr>
      <w:r w:rsidRPr="007F13A2">
        <w:t xml:space="preserve">4.1. </w:t>
      </w:r>
      <w:r w:rsidR="00D01AF7" w:rsidRPr="007F13A2">
        <w:t xml:space="preserve">Przedmiotem zamówienia są roboty budowlane związane </w:t>
      </w:r>
      <w:r w:rsidR="005042AC" w:rsidRPr="007F13A2">
        <w:t xml:space="preserve">z </w:t>
      </w:r>
      <w:r w:rsidR="00126CBB">
        <w:t>przebudową dróg gminnych na terenie Rabki-Zdroju wraz z infrastrukturą towarzyszącą</w:t>
      </w:r>
      <w:r w:rsidR="00DE26A0" w:rsidRPr="007F13A2">
        <w:t>.</w:t>
      </w:r>
      <w:r w:rsidR="00EF62E2" w:rsidRPr="007F13A2">
        <w:t xml:space="preserve"> </w:t>
      </w:r>
    </w:p>
    <w:p w:rsidR="00FD26AE" w:rsidRPr="00126CBB" w:rsidRDefault="00FD26AE" w:rsidP="0051162A">
      <w:pPr>
        <w:pStyle w:val="Nagwek3"/>
      </w:pPr>
      <w:r w:rsidRPr="00126CBB">
        <w:t xml:space="preserve">4.2. Przedmiot zamówienia został podzielony na 2 </w:t>
      </w:r>
      <w:r w:rsidR="00126CBB">
        <w:t>części</w:t>
      </w:r>
      <w:r w:rsidRPr="00126CBB">
        <w:t>:</w:t>
      </w:r>
    </w:p>
    <w:p w:rsidR="00FD26AE" w:rsidRPr="007F13A2" w:rsidRDefault="00FD26AE" w:rsidP="0051162A">
      <w:pPr>
        <w:pStyle w:val="Nagwek3"/>
      </w:pPr>
    </w:p>
    <w:p w:rsidR="00FD26AE" w:rsidRPr="007F13A2" w:rsidRDefault="00FD26AE" w:rsidP="0051162A">
      <w:pPr>
        <w:pStyle w:val="Nagwek3"/>
      </w:pPr>
      <w:r w:rsidRPr="007F13A2">
        <w:t xml:space="preserve">- </w:t>
      </w:r>
      <w:r w:rsidR="00126CBB">
        <w:t>część</w:t>
      </w:r>
      <w:r w:rsidRPr="007F13A2">
        <w:t xml:space="preserve"> I – </w:t>
      </w:r>
      <w:r w:rsidR="002B283A">
        <w:t>Przebudowa drogi gminnej nr 364538K ul. Poniatowskiego w km 2+060,00 do 3+250,00 w m. Rabka-Zdrój</w:t>
      </w:r>
      <w:r w:rsidR="00430391" w:rsidRPr="007F13A2">
        <w:t>.</w:t>
      </w:r>
    </w:p>
    <w:p w:rsidR="00430391" w:rsidRPr="007F13A2" w:rsidRDefault="00430391" w:rsidP="0051162A">
      <w:pPr>
        <w:pStyle w:val="Nagwek3"/>
      </w:pPr>
    </w:p>
    <w:p w:rsidR="00430391" w:rsidRPr="007F13A2" w:rsidRDefault="00430391" w:rsidP="0051162A">
      <w:pPr>
        <w:pStyle w:val="Nagwek3"/>
      </w:pPr>
      <w:r w:rsidRPr="007F13A2">
        <w:t xml:space="preserve">- </w:t>
      </w:r>
      <w:r w:rsidR="00E65BFA">
        <w:t>część</w:t>
      </w:r>
      <w:r w:rsidRPr="007F13A2">
        <w:t xml:space="preserve"> II </w:t>
      </w:r>
      <w:r w:rsidR="00142800" w:rsidRPr="007F13A2">
        <w:t>–</w:t>
      </w:r>
      <w:r w:rsidRPr="007F13A2">
        <w:t xml:space="preserve"> </w:t>
      </w:r>
      <w:r w:rsidR="00E65BFA">
        <w:t>Przebudowa drogi ul. Zakopiańska w Rabce-Zdroju</w:t>
      </w:r>
      <w:r w:rsidRPr="007F13A2">
        <w:t>.</w:t>
      </w:r>
    </w:p>
    <w:p w:rsidR="00FD26AE" w:rsidRPr="007F13A2" w:rsidRDefault="00FD26AE" w:rsidP="0051162A">
      <w:pPr>
        <w:pStyle w:val="Nagwek3"/>
      </w:pPr>
    </w:p>
    <w:p w:rsidR="009D13EB" w:rsidRDefault="00EA3DCD" w:rsidP="0051162A">
      <w:pPr>
        <w:pStyle w:val="Nagwek3"/>
      </w:pPr>
      <w:r>
        <w:t xml:space="preserve">4.3. </w:t>
      </w:r>
      <w:r w:rsidR="001D211F" w:rsidRPr="007F13A2">
        <w:t xml:space="preserve">Szczegółowy zakres przedmiotu zamówienia </w:t>
      </w:r>
      <w:r w:rsidR="00FD26AE" w:rsidRPr="007F13A2">
        <w:t xml:space="preserve">dla </w:t>
      </w:r>
      <w:r w:rsidR="00C43CD0">
        <w:t>części</w:t>
      </w:r>
      <w:r w:rsidR="00FD26AE" w:rsidRPr="007F13A2">
        <w:t xml:space="preserve"> I oraz </w:t>
      </w:r>
      <w:r w:rsidR="00C43CD0">
        <w:t xml:space="preserve">części </w:t>
      </w:r>
      <w:r w:rsidR="00FD26AE" w:rsidRPr="007F13A2">
        <w:t xml:space="preserve">II </w:t>
      </w:r>
      <w:r w:rsidR="001D211F" w:rsidRPr="007F13A2">
        <w:t xml:space="preserve">został </w:t>
      </w:r>
      <w:r w:rsidR="00A929B6" w:rsidRPr="007F13A2">
        <w:t>opisany</w:t>
      </w:r>
      <w:r w:rsidR="001D211F" w:rsidRPr="007F13A2">
        <w:t xml:space="preserve"> </w:t>
      </w:r>
      <w:r w:rsidR="00FD26AE" w:rsidRPr="007F13A2">
        <w:br/>
      </w:r>
      <w:r w:rsidR="001D211F" w:rsidRPr="007F13A2">
        <w:t xml:space="preserve">w </w:t>
      </w:r>
      <w:r w:rsidR="007A6E22" w:rsidRPr="007F13A2">
        <w:t>dokumentacji</w:t>
      </w:r>
      <w:r w:rsidR="005042AC" w:rsidRPr="007F13A2">
        <w:t xml:space="preserve"> projektowej, Specyfikacji </w:t>
      </w:r>
      <w:r w:rsidR="00444662" w:rsidRPr="007F13A2">
        <w:t>T</w:t>
      </w:r>
      <w:r w:rsidR="005042AC" w:rsidRPr="007F13A2">
        <w:t>echnicznej Wykonania i Odbioru Robót</w:t>
      </w:r>
      <w:r w:rsidR="009C7F97" w:rsidRPr="007F13A2">
        <w:t xml:space="preserve"> oraz przedmiar</w:t>
      </w:r>
      <w:r w:rsidR="005042AC" w:rsidRPr="007F13A2">
        <w:t>ach</w:t>
      </w:r>
      <w:r w:rsidR="009C7F97" w:rsidRPr="007F13A2">
        <w:t xml:space="preserve"> robót</w:t>
      </w:r>
      <w:r w:rsidR="001D211F" w:rsidRPr="007F13A2">
        <w:t xml:space="preserve"> stanowiąc</w:t>
      </w:r>
      <w:r w:rsidR="009C7F97" w:rsidRPr="007F13A2">
        <w:t>y</w:t>
      </w:r>
      <w:r w:rsidR="005042AC" w:rsidRPr="007F13A2">
        <w:t>ch</w:t>
      </w:r>
      <w:r w:rsidR="001D211F" w:rsidRPr="007F13A2">
        <w:t xml:space="preserve"> załącznik</w:t>
      </w:r>
      <w:r w:rsidR="005042AC" w:rsidRPr="007F13A2">
        <w:t>i</w:t>
      </w:r>
      <w:r w:rsidR="001D211F" w:rsidRPr="007F13A2">
        <w:t xml:space="preserve"> do niniejszej SWZ.</w:t>
      </w:r>
    </w:p>
    <w:p w:rsidR="00EA3DCD" w:rsidRDefault="00EA3DCD" w:rsidP="00EA3DCD">
      <w:pPr>
        <w:pStyle w:val="Nagwek3"/>
      </w:pPr>
    </w:p>
    <w:p w:rsidR="00EA3DCD" w:rsidRDefault="00EA3DCD" w:rsidP="00EA3DCD">
      <w:pPr>
        <w:pStyle w:val="Nagwek3"/>
      </w:pPr>
      <w:r>
        <w:t xml:space="preserve">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przy określeniu rzeczywistego zakresu robót składających się na przedmiot zamówienia.</w:t>
      </w:r>
      <w:r w:rsidR="00930619">
        <w:t xml:space="preserve"> </w:t>
      </w:r>
    </w:p>
    <w:p w:rsidR="00EA3DCD" w:rsidRDefault="00EA3DCD" w:rsidP="00EA3DCD">
      <w:pPr>
        <w:pStyle w:val="Nagwek3"/>
      </w:pPr>
    </w:p>
    <w:p w:rsidR="00EA3DCD" w:rsidRDefault="00EA3DCD" w:rsidP="00EA3DCD">
      <w:pPr>
        <w:pStyle w:val="Nagwek3"/>
      </w:pPr>
      <w:r>
        <w:t xml:space="preserve">4.12. Brak ujęcia w Przedmiarach Robót, robót ujętych projektach budowlanych i w projektach wykonawczych lub różnice w ilościach robót do wykonania ujętych w Przedmiarze Robót </w:t>
      </w:r>
    </w:p>
    <w:p w:rsidR="00EA3DCD" w:rsidRPr="007F13A2" w:rsidRDefault="00EA3DCD" w:rsidP="00EA3DCD">
      <w:pPr>
        <w:pStyle w:val="Nagwek3"/>
      </w:pPr>
      <w:r>
        <w:lastRenderedPageBreak/>
        <w:t>w stosunku do projektu budowlanego i projektów wykonawczych oraz różniące się technologie realizacji prac założone w Przedmiarze Robót w stosunku do projektu budowlanego i projektów wykonawczych nie stanowią podstawy do zmiany ceny ryczałtowej.</w:t>
      </w:r>
    </w:p>
    <w:p w:rsidR="00B40FFE" w:rsidRPr="00020372" w:rsidRDefault="00E03097" w:rsidP="0051162A">
      <w:pPr>
        <w:pStyle w:val="Nagwek3"/>
      </w:pPr>
      <w:r w:rsidRPr="00020372">
        <w:t>4</w:t>
      </w:r>
      <w:r w:rsidR="00B40FFE" w:rsidRPr="00020372">
        <w:t>.2. Nazwy i kody określone we Wspólnym Słowniku Zamówień CPV:</w:t>
      </w:r>
      <w:r w:rsidR="003C6F9C">
        <w:t xml:space="preserve"> </w:t>
      </w:r>
    </w:p>
    <w:p w:rsidR="001166B4" w:rsidRPr="009E381C" w:rsidRDefault="001166B4" w:rsidP="00E77EB8">
      <w:pPr>
        <w:pStyle w:val="Standard"/>
        <w:tabs>
          <w:tab w:val="left" w:pos="5696"/>
        </w:tabs>
        <w:spacing w:before="120" w:after="120"/>
        <w:jc w:val="both"/>
        <w:rPr>
          <w:rFonts w:ascii="Arial" w:hAnsi="Arial" w:cs="Arial"/>
        </w:rPr>
      </w:pPr>
      <w:r w:rsidRPr="009E381C">
        <w:rPr>
          <w:rFonts w:ascii="Arial" w:hAnsi="Arial" w:cs="Arial"/>
        </w:rPr>
        <w:t>45</w:t>
      </w:r>
      <w:r w:rsidR="009E381C" w:rsidRPr="009E381C">
        <w:rPr>
          <w:rFonts w:ascii="Arial" w:hAnsi="Arial" w:cs="Arial"/>
        </w:rPr>
        <w:t>220000-5</w:t>
      </w:r>
      <w:r w:rsidRPr="009E381C">
        <w:rPr>
          <w:rFonts w:ascii="Arial" w:hAnsi="Arial" w:cs="Arial"/>
        </w:rPr>
        <w:t xml:space="preserve"> Roboty</w:t>
      </w:r>
      <w:r w:rsidR="009E381C" w:rsidRPr="009E381C">
        <w:rPr>
          <w:rFonts w:ascii="Arial" w:hAnsi="Arial" w:cs="Arial"/>
        </w:rPr>
        <w:t xml:space="preserve"> inżynieryjne i</w:t>
      </w:r>
      <w:r w:rsidRPr="009E381C">
        <w:rPr>
          <w:rFonts w:ascii="Arial" w:hAnsi="Arial" w:cs="Arial"/>
        </w:rPr>
        <w:t xml:space="preserve"> budowlane</w:t>
      </w:r>
    </w:p>
    <w:p w:rsidR="001166B4" w:rsidRPr="009E381C" w:rsidRDefault="001166B4" w:rsidP="00E77EB8">
      <w:pPr>
        <w:pStyle w:val="Standard"/>
        <w:tabs>
          <w:tab w:val="left" w:pos="5696"/>
        </w:tabs>
        <w:spacing w:before="120" w:after="120"/>
        <w:jc w:val="both"/>
        <w:rPr>
          <w:rFonts w:ascii="Arial" w:hAnsi="Arial" w:cs="Arial"/>
        </w:rPr>
      </w:pPr>
      <w:r w:rsidRPr="009E381C">
        <w:rPr>
          <w:rFonts w:ascii="Arial" w:hAnsi="Arial" w:cs="Arial"/>
        </w:rPr>
        <w:t>45</w:t>
      </w:r>
      <w:r w:rsidR="009E381C" w:rsidRPr="009E381C">
        <w:rPr>
          <w:rFonts w:ascii="Arial" w:hAnsi="Arial" w:cs="Arial"/>
        </w:rPr>
        <w:t>1</w:t>
      </w:r>
      <w:r w:rsidRPr="009E381C">
        <w:rPr>
          <w:rFonts w:ascii="Arial" w:hAnsi="Arial" w:cs="Arial"/>
        </w:rPr>
        <w:t>1</w:t>
      </w:r>
      <w:r w:rsidR="009E381C" w:rsidRPr="009E381C">
        <w:rPr>
          <w:rFonts w:ascii="Arial" w:hAnsi="Arial" w:cs="Arial"/>
        </w:rPr>
        <w:t>1</w:t>
      </w:r>
      <w:r w:rsidRPr="009E381C">
        <w:rPr>
          <w:rFonts w:ascii="Arial" w:hAnsi="Arial" w:cs="Arial"/>
        </w:rPr>
        <w:t>000-</w:t>
      </w:r>
      <w:r w:rsidR="009E381C" w:rsidRPr="009E381C">
        <w:rPr>
          <w:rFonts w:ascii="Arial" w:hAnsi="Arial" w:cs="Arial"/>
        </w:rPr>
        <w:t>8</w:t>
      </w:r>
      <w:r w:rsidRPr="009E381C">
        <w:rPr>
          <w:rFonts w:ascii="Arial" w:hAnsi="Arial" w:cs="Arial"/>
        </w:rPr>
        <w:t xml:space="preserve"> Roboty </w:t>
      </w:r>
      <w:r w:rsidR="009E381C" w:rsidRPr="009E381C">
        <w:rPr>
          <w:rFonts w:ascii="Arial" w:hAnsi="Arial" w:cs="Arial"/>
        </w:rPr>
        <w:t>w zakresie burzenia, roboty ziemne</w:t>
      </w:r>
    </w:p>
    <w:p w:rsidR="009E381C" w:rsidRPr="009E381C" w:rsidRDefault="009E381C" w:rsidP="00E77EB8">
      <w:pPr>
        <w:pStyle w:val="Standard"/>
        <w:tabs>
          <w:tab w:val="left" w:pos="5696"/>
        </w:tabs>
        <w:spacing w:before="120" w:after="120"/>
        <w:jc w:val="both"/>
        <w:rPr>
          <w:rFonts w:ascii="Arial" w:hAnsi="Arial" w:cs="Arial"/>
        </w:rPr>
      </w:pPr>
      <w:r w:rsidRPr="009E381C">
        <w:rPr>
          <w:rFonts w:ascii="Arial" w:hAnsi="Arial" w:cs="Arial"/>
        </w:rPr>
        <w:t>45233140-2 Roboty drogowe</w:t>
      </w:r>
    </w:p>
    <w:p w:rsidR="00E03097" w:rsidRPr="004E1897" w:rsidRDefault="00E03097" w:rsidP="00E77EB8">
      <w:pPr>
        <w:pStyle w:val="Standard"/>
        <w:tabs>
          <w:tab w:val="left" w:pos="5696"/>
        </w:tabs>
        <w:spacing w:before="120" w:after="120"/>
        <w:jc w:val="both"/>
        <w:rPr>
          <w:rFonts w:ascii="Arial" w:hAnsi="Arial" w:cs="Arial"/>
          <w:b/>
        </w:rPr>
      </w:pPr>
      <w:r w:rsidRPr="004E1897">
        <w:rPr>
          <w:rFonts w:ascii="Arial" w:hAnsi="Arial" w:cs="Arial"/>
          <w:b/>
        </w:rPr>
        <w:t>4.3. Zamawiający dopuszcza składania ofert częściowych.</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FF3713">
      <w:pPr>
        <w:pStyle w:val="Nagwek2"/>
      </w:pPr>
      <w:r w:rsidRPr="00020372">
        <w:t>4.</w:t>
      </w:r>
      <w:r w:rsidR="004B4CC6" w:rsidRPr="00020372">
        <w:t>5</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rsidR="00B40FFE" w:rsidRPr="00020372" w:rsidRDefault="006538A9" w:rsidP="00FF3713">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rsidR="00B40FFE" w:rsidRPr="00020372" w:rsidRDefault="006538A9" w:rsidP="00FF3713">
      <w:pPr>
        <w:pStyle w:val="Nagwek2"/>
      </w:pPr>
      <w:r w:rsidRPr="00020372">
        <w:t>4</w:t>
      </w:r>
      <w:r w:rsidR="00B40FFE" w:rsidRPr="00020372">
        <w:t>.</w:t>
      </w:r>
      <w:r w:rsidR="004B4CC6" w:rsidRPr="00020372">
        <w:t>6.</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rsidR="00B40FFE" w:rsidRPr="00020372" w:rsidRDefault="00E77EB8" w:rsidP="00FF3713">
      <w:pPr>
        <w:pStyle w:val="Nagwek2"/>
      </w:pPr>
      <w:r w:rsidRPr="00020372">
        <w:t>4.</w:t>
      </w:r>
      <w:r w:rsidR="004B4CC6" w:rsidRPr="00020372">
        <w:t>7</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4B4CC6" w:rsidRPr="001679C8">
        <w:rPr>
          <w:rFonts w:ascii="Arial" w:hAnsi="Arial" w:cs="Arial"/>
          <w:b/>
          <w:sz w:val="20"/>
          <w:szCs w:val="20"/>
        </w:rPr>
        <w:t>8</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rsidR="008F0148" w:rsidRPr="00A35351" w:rsidRDefault="008F0148" w:rsidP="00A35351">
      <w:pPr>
        <w:spacing w:after="160" w:line="254" w:lineRule="auto"/>
        <w:jc w:val="both"/>
        <w:rPr>
          <w:rFonts w:ascii="Arial" w:hAnsi="Arial" w:cs="Arial"/>
          <w:b/>
          <w:sz w:val="20"/>
          <w:szCs w:val="20"/>
        </w:rPr>
      </w:pPr>
      <w:r w:rsidRPr="00A35351">
        <w:rPr>
          <w:rFonts w:ascii="Arial" w:hAnsi="Arial" w:cs="Arial"/>
          <w:b/>
          <w:sz w:val="20"/>
          <w:szCs w:val="20"/>
        </w:rPr>
        <w:t xml:space="preserve">Zamawiający dopuszcza całkowite zamknięcie drogi </w:t>
      </w:r>
      <w:r w:rsidRPr="00A35351">
        <w:rPr>
          <w:rFonts w:ascii="Arial" w:hAnsi="Arial" w:cs="Arial"/>
          <w:b/>
          <w:sz w:val="20"/>
          <w:szCs w:val="20"/>
          <w:u w:val="single"/>
        </w:rPr>
        <w:t xml:space="preserve">jedynie na czas robót związanych </w:t>
      </w:r>
      <w:r w:rsidRPr="00A35351">
        <w:rPr>
          <w:rFonts w:ascii="Arial" w:hAnsi="Arial" w:cs="Arial"/>
          <w:b/>
          <w:sz w:val="20"/>
          <w:szCs w:val="20"/>
          <w:u w:val="single"/>
        </w:rPr>
        <w:br/>
        <w:t>z układaniem nawierzchni bitumicznych, z zastrzeżeniem umożliwieni</w:t>
      </w:r>
      <w:r w:rsidR="00A35351" w:rsidRPr="00A35351">
        <w:rPr>
          <w:rFonts w:ascii="Arial" w:hAnsi="Arial" w:cs="Arial"/>
          <w:b/>
          <w:sz w:val="20"/>
          <w:szCs w:val="20"/>
          <w:u w:val="single"/>
        </w:rPr>
        <w:t>a</w:t>
      </w:r>
      <w:r w:rsidRPr="00A35351">
        <w:rPr>
          <w:rFonts w:ascii="Arial" w:hAnsi="Arial" w:cs="Arial"/>
          <w:b/>
          <w:sz w:val="20"/>
          <w:szCs w:val="20"/>
          <w:u w:val="single"/>
        </w:rPr>
        <w:t xml:space="preserve"> dojazdu służb ratowniczych.</w:t>
      </w:r>
    </w:p>
    <w:p w:rsidR="008F0148" w:rsidRPr="00A35351" w:rsidRDefault="008F0148" w:rsidP="008F0148">
      <w:pPr>
        <w:pStyle w:val="Tekstpodstawowy"/>
        <w:jc w:val="both"/>
        <w:rPr>
          <w:rFonts w:ascii="Arial" w:hAnsi="Arial" w:cs="Arial"/>
          <w:b/>
          <w:sz w:val="20"/>
          <w:szCs w:val="20"/>
        </w:rPr>
      </w:pPr>
      <w:r w:rsidRPr="00A35351">
        <w:rPr>
          <w:rFonts w:ascii="Arial" w:hAnsi="Arial" w:cs="Arial"/>
          <w:b/>
          <w:sz w:val="20"/>
          <w:szCs w:val="20"/>
        </w:rPr>
        <w:t xml:space="preserve">Każdorazowe zamknięcie drogi Wykonawca zobowiązany będzie do uzgodnienia </w:t>
      </w:r>
      <w:r w:rsidRPr="00A35351">
        <w:rPr>
          <w:rFonts w:ascii="Arial" w:hAnsi="Arial" w:cs="Arial"/>
          <w:b/>
          <w:sz w:val="20"/>
          <w:szCs w:val="20"/>
        </w:rPr>
        <w:br/>
        <w:t>z zarządcą drogi, z odpowiednimi służbami oraz poinformowania mieszkańców.</w:t>
      </w:r>
    </w:p>
    <w:p w:rsidR="0015627B" w:rsidRPr="00EC31AB" w:rsidRDefault="00E77EB8" w:rsidP="00FF3713">
      <w:pPr>
        <w:pStyle w:val="Nagwek2"/>
      </w:pPr>
      <w:r w:rsidRPr="00EC31AB">
        <w:rPr>
          <w:highlight w:val="lightGray"/>
        </w:rPr>
        <w:t>5. ZASADA OCENY ROZWIĄZAŃ RÓWNOWAŻNYCH.</w:t>
      </w:r>
    </w:p>
    <w:p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w:t>
      </w:r>
      <w:proofErr w:type="spellStart"/>
      <w:r w:rsidR="00B40FFE" w:rsidRPr="00020372">
        <w:t>pkt</w:t>
      </w:r>
      <w:proofErr w:type="spellEnd"/>
      <w:r w:rsidR="00B40FFE" w:rsidRPr="00020372">
        <w:t xml:space="preserve"> 2 i ust. 3 ustawy Pzp.</w:t>
      </w:r>
    </w:p>
    <w:p w:rsidR="00B40FFE" w:rsidRPr="00020372" w:rsidRDefault="00B4482E" w:rsidP="00FF3713">
      <w:pPr>
        <w:pStyle w:val="Nagwek2"/>
      </w:pPr>
      <w:r w:rsidRPr="00020372">
        <w:lastRenderedPageBreak/>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25973641"/>
      <w:bookmarkStart w:id="8" w:name="_Toc512324677"/>
      <w:r w:rsidRPr="00020372">
        <w:rPr>
          <w:rFonts w:ascii="Arial" w:hAnsi="Arial" w:cs="Arial"/>
          <w:sz w:val="20"/>
          <w:szCs w:val="20"/>
          <w:highlight w:val="lightGray"/>
        </w:rPr>
        <w:t>WIZJA LOKALNA</w:t>
      </w:r>
      <w:bookmarkEnd w:id="7"/>
    </w:p>
    <w:p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5973642"/>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5973643"/>
      <w:bookmarkEnd w:id="8"/>
      <w:r w:rsidRPr="00020372">
        <w:rPr>
          <w:rFonts w:ascii="Arial" w:hAnsi="Arial" w:cs="Arial"/>
          <w:sz w:val="20"/>
          <w:szCs w:val="20"/>
          <w:highlight w:val="lightGray"/>
        </w:rPr>
        <w:t>INNE POSTANOWIENIA:</w:t>
      </w:r>
      <w:bookmarkEnd w:id="10"/>
      <w:bookmarkEnd w:id="11"/>
    </w:p>
    <w:p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rsidR="004D34E5" w:rsidRPr="00020372" w:rsidRDefault="003B13FC" w:rsidP="00FF3713">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73007D" w:rsidRPr="0073007D">
        <w:rPr>
          <w:lang w:eastAsia="en-US"/>
        </w:rPr>
        <w:t>roboty</w:t>
      </w:r>
      <w:r w:rsidR="0073007D" w:rsidRPr="00743D4B">
        <w:rPr>
          <w:lang w:eastAsia="en-US"/>
        </w:rPr>
        <w:t xml:space="preserve"> przygotowawcze, roboty rozbiórkowe, roboty ziemne, odwodnienie, kanalizacja deszczowa, odwodnienie powierzchniowe, przebudowa kanalizacji sanitarnej, kanał technologiczny, podbudowa pod jezdnię, przebudowa drogi, przebudowa sieci energetycznych, budowa sieci oświetlenia drogowego, chodniki, wykonanie zjazdów, wykonanie poboczy, elementy zabezpieczające, oznakowanie pionowe i poziome, roboty ziemne wykończeniowe, roboty </w:t>
      </w:r>
      <w:r w:rsidR="0073007D" w:rsidRPr="0073007D">
        <w:rPr>
          <w:lang w:eastAsia="en-US"/>
        </w:rPr>
        <w:t>montażowe</w:t>
      </w:r>
      <w:r w:rsidR="004250E6" w:rsidRPr="0073007D">
        <w:t>,</w:t>
      </w:r>
      <w:r w:rsidR="00623939" w:rsidRPr="0073007D">
        <w:t xml:space="preserve"> itp.</w:t>
      </w:r>
      <w:r w:rsidR="004D34E5" w:rsidRPr="00020372">
        <w:t xml:space="preserve"> </w:t>
      </w:r>
    </w:p>
    <w:p w:rsidR="00E07F1B" w:rsidRPr="00020372" w:rsidRDefault="00E07F1B" w:rsidP="00FF371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we wzorze umowy – </w:t>
      </w:r>
      <w:r w:rsidRPr="00814714">
        <w:rPr>
          <w:b/>
        </w:rPr>
        <w:t xml:space="preserve">stanowiącym </w:t>
      </w:r>
      <w:r w:rsidR="0071351B" w:rsidRPr="00814714">
        <w:rPr>
          <w:b/>
        </w:rPr>
        <w:t>załącznik nr 7</w:t>
      </w:r>
      <w:r w:rsidRPr="00814714">
        <w:rPr>
          <w:b/>
        </w:rPr>
        <w:t xml:space="preserve"> do SWZ</w:t>
      </w:r>
      <w:r w:rsidRPr="00020372">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t>(</w:t>
      </w:r>
      <w:r w:rsidR="00FF3713" w:rsidRPr="00FF3713">
        <w:t>dla każdej części</w:t>
      </w:r>
      <w:r w:rsidR="00DE17C8" w:rsidRPr="00FF3713">
        <w:t xml:space="preserve">) </w:t>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rsidR="00783C77" w:rsidRPr="00FF3713" w:rsidRDefault="006B39D8" w:rsidP="00FF3713">
      <w:pPr>
        <w:pStyle w:val="Nagwek2"/>
        <w:rPr>
          <w:b/>
        </w:rPr>
      </w:pPr>
      <w:r w:rsidRPr="00FF3713">
        <w:rPr>
          <w:b/>
        </w:rPr>
        <w:t>7.12 Wykonawca, z</w:t>
      </w:r>
      <w:r w:rsidR="00783C77" w:rsidRPr="00FF3713">
        <w:rPr>
          <w:b/>
        </w:rPr>
        <w:t xml:space="preserve"> zastrzeżeniem zapisu ust. </w:t>
      </w:r>
      <w:r w:rsidRPr="00FF3713">
        <w:rPr>
          <w:b/>
        </w:rPr>
        <w:t>7.12.1</w:t>
      </w:r>
      <w:r w:rsidR="00783C77" w:rsidRPr="00FF3713">
        <w:rPr>
          <w:b/>
        </w:rPr>
        <w:t xml:space="preserve">. w terminie do </w:t>
      </w:r>
      <w:r w:rsidRPr="00FF3713">
        <w:rPr>
          <w:b/>
        </w:rPr>
        <w:t>7</w:t>
      </w:r>
      <w:r w:rsidR="00783C77" w:rsidRPr="00FF3713">
        <w:rPr>
          <w:b/>
        </w:rPr>
        <w:t xml:space="preserve"> dni od dnia zawarcia umowy przedłoży i uzgodni z Zamawiającym </w:t>
      </w:r>
      <w:r w:rsidR="00FF3713" w:rsidRPr="00FF3713">
        <w:rPr>
          <w:b/>
        </w:rPr>
        <w:t>H</w:t>
      </w:r>
      <w:r w:rsidR="00783C77" w:rsidRPr="00FF3713">
        <w:rPr>
          <w:b/>
        </w:rPr>
        <w:t xml:space="preserve">armonogram rzeczowo - finansowy realizacji </w:t>
      </w:r>
      <w:r w:rsidRPr="00FF3713">
        <w:rPr>
          <w:b/>
        </w:rPr>
        <w:t>przedmiotu umowy</w:t>
      </w:r>
      <w:r w:rsidR="00783C77" w:rsidRPr="00FF3713">
        <w:rPr>
          <w:b/>
        </w:rPr>
        <w:t xml:space="preserve">. </w:t>
      </w:r>
    </w:p>
    <w:p w:rsidR="006A4F0A" w:rsidRDefault="006B39D8" w:rsidP="00B472F0">
      <w:pPr>
        <w:pStyle w:val="Nagwek2"/>
        <w:ind w:left="426"/>
      </w:pPr>
      <w:r>
        <w:t>7.12.1</w:t>
      </w:r>
      <w:r w:rsidR="00783C77" w:rsidRPr="00783C77">
        <w:t xml:space="preserve">. </w:t>
      </w:r>
      <w:r w:rsidRPr="006B39D8">
        <w:t>Zamawiający zastrzega konieczność dostosowania</w:t>
      </w:r>
      <w:r w:rsidR="00CD48D0">
        <w:t xml:space="preserve"> harmonogramu </w:t>
      </w:r>
      <w:r w:rsidR="00D15E48">
        <w:t xml:space="preserve">rzeczowo-finansowego </w:t>
      </w:r>
      <w:r w:rsidR="00CD48D0">
        <w:t xml:space="preserve">do </w:t>
      </w:r>
      <w:r w:rsidR="00D15E48">
        <w:t xml:space="preserve">zasad płatności wynikających z programu Polsk Ład, </w:t>
      </w:r>
    </w:p>
    <w:p w:rsidR="006B39D8" w:rsidRDefault="006B39D8" w:rsidP="00B472F0">
      <w:pPr>
        <w:pStyle w:val="Nagwek2"/>
        <w:ind w:left="426"/>
      </w:pPr>
      <w:r>
        <w:t>7.12.2.</w:t>
      </w:r>
      <w:r w:rsidRPr="006B39D8">
        <w:t xml:space="preserve"> Wszelkie roboty budowlane związane z przedmiotem umowy Wykonawca może rozpocząć dopiero po uzyskaniu akceptacji </w:t>
      </w:r>
      <w:r w:rsidR="006A4F0A">
        <w:t>H</w:t>
      </w:r>
      <w:r w:rsidRPr="006B39D8">
        <w:t>armonogramu rzeczowo-finansowego przez Zamawiającego.</w:t>
      </w:r>
    </w:p>
    <w:p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B39D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lastRenderedPageBreak/>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1F25D1" w:rsidRDefault="001F25D1" w:rsidP="001F25D1">
      <w:pPr>
        <w:pStyle w:val="Tekstpodstawowy"/>
        <w:jc w:val="both"/>
        <w:rPr>
          <w:rFonts w:ascii="Arial" w:hAnsi="Arial" w:cs="Arial"/>
          <w:sz w:val="20"/>
          <w:szCs w:val="20"/>
        </w:rPr>
      </w:pPr>
      <w:r>
        <w:rPr>
          <w:rFonts w:ascii="Arial" w:hAnsi="Arial" w:cs="Arial"/>
          <w:sz w:val="20"/>
          <w:szCs w:val="20"/>
        </w:rPr>
        <w:t xml:space="preserve">7.19.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w:t>
      </w:r>
      <w:r w:rsidRPr="00513C8B">
        <w:rPr>
          <w:rFonts w:ascii="Arial" w:hAnsi="Arial" w:cs="Arial"/>
          <w:sz w:val="20"/>
          <w:szCs w:val="20"/>
        </w:rPr>
        <w:t>.</w:t>
      </w:r>
      <w:r w:rsidRPr="001F25D1">
        <w:rPr>
          <w:rFonts w:ascii="Arial" w:hAnsi="Arial" w:cs="Arial"/>
          <w:sz w:val="20"/>
          <w:szCs w:val="20"/>
        </w:rPr>
        <w:t xml:space="preserve"> </w:t>
      </w:r>
    </w:p>
    <w:p w:rsidR="001F25D1" w:rsidRDefault="001F25D1" w:rsidP="001F25D1">
      <w:pPr>
        <w:pStyle w:val="Tekstpodstawowy"/>
        <w:jc w:val="both"/>
        <w:rPr>
          <w:rFonts w:ascii="Arial" w:hAnsi="Arial" w:cs="Arial"/>
          <w:i/>
          <w:sz w:val="20"/>
          <w:szCs w:val="20"/>
        </w:rPr>
      </w:pPr>
      <w:r w:rsidRPr="001F25D1">
        <w:rPr>
          <w:rFonts w:ascii="Arial" w:hAnsi="Arial" w:cs="Arial"/>
          <w:i/>
          <w:sz w:val="20"/>
          <w:szCs w:val="20"/>
        </w:rPr>
        <w:t>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rsidR="0068654F" w:rsidRPr="0068654F" w:rsidRDefault="0068654F" w:rsidP="0068654F">
      <w:pPr>
        <w:suppressAutoHyphens/>
        <w:jc w:val="both"/>
        <w:rPr>
          <w:rFonts w:ascii="Arial" w:hAnsi="Arial" w:cs="Arial"/>
        </w:rPr>
      </w:pPr>
      <w:r w:rsidRPr="0068654F">
        <w:rPr>
          <w:rFonts w:ascii="Arial" w:hAnsi="Arial" w:cs="Arial"/>
          <w:sz w:val="20"/>
          <w:szCs w:val="20"/>
        </w:rPr>
        <w:t xml:space="preserve">7.20.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rsidR="0068654F" w:rsidRPr="001F25D1" w:rsidRDefault="0068654F" w:rsidP="001F25D1">
      <w:pPr>
        <w:pStyle w:val="Tekstpodstawowy"/>
        <w:jc w:val="both"/>
        <w:rPr>
          <w:rFonts w:ascii="Arial" w:hAnsi="Arial" w:cs="Arial"/>
          <w:i/>
          <w:sz w:val="20"/>
          <w:szCs w:val="20"/>
        </w:rPr>
      </w:pP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5973644"/>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94856" w:rsidRPr="00180D43" w:rsidRDefault="00CC5E21" w:rsidP="00FF3713">
      <w:pPr>
        <w:pStyle w:val="Nagwek2"/>
        <w:rPr>
          <w:rFonts w:ascii="Verdana" w:hAnsi="Verdana" w:cs="Verdana"/>
          <w:color w:val="FF0000"/>
          <w:sz w:val="22"/>
          <w:szCs w:val="22"/>
        </w:rPr>
      </w:pPr>
      <w:r w:rsidRPr="00FD428E">
        <w:t>Wymagany</w:t>
      </w:r>
      <w:r w:rsidR="00B40FFE" w:rsidRPr="00FD428E">
        <w:t xml:space="preserve"> termin zakończenia robót: </w:t>
      </w:r>
      <w:r w:rsidR="00C306F0" w:rsidRPr="00885E2A">
        <w:rPr>
          <w:b/>
        </w:rPr>
        <w:t>do 6</w:t>
      </w:r>
      <w:r w:rsidR="00747EED" w:rsidRPr="00885E2A">
        <w:rPr>
          <w:b/>
        </w:rPr>
        <w:t xml:space="preserve"> miesięcy od daty podpisania umowy</w:t>
      </w:r>
      <w:r w:rsidR="00C306F0" w:rsidRPr="00885E2A">
        <w:rPr>
          <w:b/>
        </w:rPr>
        <w:t>.</w:t>
      </w:r>
      <w:r w:rsidR="000F4632">
        <w:tab/>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5973645"/>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557435" w:rsidRPr="007F13A2" w:rsidRDefault="00D31C7F" w:rsidP="00557435">
      <w:pPr>
        <w:pStyle w:val="Nagwek3"/>
      </w:pPr>
      <w:r w:rsidRPr="00557435">
        <w:t>Dla części I:</w:t>
      </w:r>
      <w:r w:rsidR="00557435" w:rsidRPr="007F13A2">
        <w:t xml:space="preserve"> </w:t>
      </w:r>
      <w:r w:rsidR="00557435">
        <w:t>Przebudowa drogi gminnej nr 364538K ul. Poniatowskiego w km 2+060,00 do 3+250,00 w m. Rabka-Zdrój</w:t>
      </w:r>
      <w:r w:rsidR="00557435" w:rsidRPr="007F13A2">
        <w:t>.</w:t>
      </w:r>
    </w:p>
    <w:p w:rsidR="00557435" w:rsidRPr="0082395C" w:rsidRDefault="00557435" w:rsidP="00557435">
      <w:pPr>
        <w:spacing w:before="120" w:after="120"/>
        <w:jc w:val="both"/>
        <w:rPr>
          <w:rFonts w:ascii="Arial" w:hAnsi="Arial" w:cs="Arial"/>
          <w:iCs/>
          <w:color w:val="FF0000"/>
          <w:sz w:val="20"/>
          <w:szCs w:val="20"/>
        </w:rPr>
      </w:pPr>
      <w:r w:rsidRPr="0082395C">
        <w:rPr>
          <w:rFonts w:ascii="Arial" w:hAnsi="Arial" w:cs="Arial"/>
          <w:b/>
          <w:color w:val="FF0000"/>
          <w:sz w:val="20"/>
          <w:szCs w:val="20"/>
        </w:rPr>
        <w:t xml:space="preserve">- w okresie ostatnich 5 lat przed upływem terminu składania ofert, a jeżeli okres prowadzenia działalności jest krótszy - w tym okresie, wykonał należycie co najmniej jedną </w:t>
      </w:r>
      <w:r w:rsidR="0082395C">
        <w:rPr>
          <w:rFonts w:ascii="Arial" w:hAnsi="Arial" w:cs="Arial"/>
          <w:b/>
          <w:color w:val="FF0000"/>
          <w:sz w:val="20"/>
          <w:szCs w:val="20"/>
        </w:rPr>
        <w:t xml:space="preserve">(min. 1) </w:t>
      </w:r>
      <w:r w:rsidRPr="0082395C">
        <w:rPr>
          <w:rFonts w:ascii="Arial" w:hAnsi="Arial" w:cs="Arial"/>
          <w:b/>
          <w:color w:val="FF0000"/>
          <w:sz w:val="20"/>
          <w:szCs w:val="20"/>
        </w:rPr>
        <w:t xml:space="preserve">robotę budowlaną związaną </w:t>
      </w:r>
      <w:r w:rsidRPr="0082395C">
        <w:rPr>
          <w:rFonts w:ascii="Arial" w:hAnsi="Arial" w:cs="Arial"/>
          <w:b/>
          <w:iCs/>
          <w:color w:val="FF0000"/>
          <w:sz w:val="20"/>
          <w:szCs w:val="20"/>
        </w:rPr>
        <w:t xml:space="preserve">z budową, przebudową, rozbudową lub remontem drogi asfaltowej o wartości brutto nie mniejszej niż </w:t>
      </w:r>
      <w:r w:rsidR="0082395C">
        <w:rPr>
          <w:rFonts w:ascii="Arial" w:hAnsi="Arial" w:cs="Arial"/>
          <w:b/>
          <w:iCs/>
          <w:color w:val="FF0000"/>
          <w:sz w:val="20"/>
          <w:szCs w:val="20"/>
        </w:rPr>
        <w:t>1</w:t>
      </w:r>
      <w:r w:rsidRPr="0082395C">
        <w:rPr>
          <w:rFonts w:ascii="Arial" w:hAnsi="Arial" w:cs="Arial"/>
          <w:b/>
          <w:iCs/>
          <w:color w:val="FF0000"/>
          <w:sz w:val="20"/>
          <w:szCs w:val="20"/>
        </w:rPr>
        <w:t xml:space="preserve"> 000 000,00 zł (</w:t>
      </w:r>
      <w:r w:rsidR="0082395C">
        <w:rPr>
          <w:rFonts w:ascii="Arial" w:hAnsi="Arial" w:cs="Arial"/>
          <w:b/>
          <w:iCs/>
          <w:color w:val="FF0000"/>
          <w:sz w:val="20"/>
          <w:szCs w:val="20"/>
        </w:rPr>
        <w:t>jeden</w:t>
      </w:r>
      <w:r w:rsidRPr="0082395C">
        <w:rPr>
          <w:rFonts w:ascii="Arial" w:hAnsi="Arial" w:cs="Arial"/>
          <w:b/>
          <w:iCs/>
          <w:color w:val="FF0000"/>
          <w:sz w:val="20"/>
          <w:szCs w:val="20"/>
        </w:rPr>
        <w:t xml:space="preserve"> milion złotych 00/100) oraz potwierdzi dowodami że roboty budowlane zostały wykonane należycie*</w:t>
      </w:r>
      <w:r w:rsidRPr="0082395C">
        <w:rPr>
          <w:rFonts w:ascii="Arial" w:hAnsi="Arial" w:cs="Arial"/>
          <w:iCs/>
          <w:color w:val="FF0000"/>
          <w:sz w:val="20"/>
          <w:szCs w:val="20"/>
        </w:rPr>
        <w:t>.</w:t>
      </w:r>
    </w:p>
    <w:p w:rsidR="00557435" w:rsidRPr="00040F99" w:rsidRDefault="00557435" w:rsidP="00557435">
      <w:pPr>
        <w:pStyle w:val="Nagwek3"/>
      </w:pPr>
    </w:p>
    <w:p w:rsidR="00557435" w:rsidRPr="00040F99" w:rsidRDefault="00557435" w:rsidP="00557435">
      <w:pPr>
        <w:pStyle w:val="Nagwek3"/>
      </w:pPr>
      <w:r w:rsidRPr="00040F99">
        <w:lastRenderedPageBreak/>
        <w:t>Dla części II – Przebudowa drogi ul. Zakopiańska w Rabce-Zdroju.</w:t>
      </w:r>
    </w:p>
    <w:p w:rsidR="0011782D" w:rsidRPr="00040F99" w:rsidRDefault="00591501" w:rsidP="00D16998">
      <w:pPr>
        <w:spacing w:before="120" w:after="120"/>
        <w:jc w:val="both"/>
        <w:rPr>
          <w:rFonts w:ascii="Arial" w:hAnsi="Arial" w:cs="Arial"/>
          <w:iCs/>
          <w:sz w:val="20"/>
          <w:szCs w:val="20"/>
        </w:rPr>
      </w:pPr>
      <w:r w:rsidRPr="00040F99">
        <w:rPr>
          <w:rFonts w:ascii="Arial" w:hAnsi="Arial" w:cs="Arial"/>
          <w:b/>
          <w:sz w:val="20"/>
          <w:szCs w:val="20"/>
        </w:rPr>
        <w:t>-</w:t>
      </w:r>
      <w:r w:rsidR="00F947D2" w:rsidRPr="00040F99">
        <w:rPr>
          <w:rFonts w:ascii="Arial" w:hAnsi="Arial" w:cs="Arial"/>
          <w:b/>
          <w:sz w:val="20"/>
          <w:szCs w:val="20"/>
        </w:rPr>
        <w:t xml:space="preserve"> w okresie ostatnich</w:t>
      </w:r>
      <w:r w:rsidR="002439CD" w:rsidRPr="00040F99">
        <w:rPr>
          <w:rFonts w:ascii="Arial" w:hAnsi="Arial" w:cs="Arial"/>
          <w:b/>
          <w:sz w:val="20"/>
          <w:szCs w:val="20"/>
        </w:rPr>
        <w:t xml:space="preserve"> 5</w:t>
      </w:r>
      <w:r w:rsidR="00F947D2" w:rsidRPr="00040F99">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40F99">
        <w:rPr>
          <w:rFonts w:ascii="Arial" w:hAnsi="Arial" w:cs="Arial"/>
          <w:b/>
          <w:sz w:val="20"/>
          <w:szCs w:val="20"/>
        </w:rPr>
        <w:t xml:space="preserve"> jedną robotę budowlaną</w:t>
      </w:r>
      <w:r w:rsidR="00D16998" w:rsidRPr="00040F99">
        <w:rPr>
          <w:rFonts w:ascii="Arial" w:hAnsi="Arial" w:cs="Arial"/>
          <w:b/>
          <w:sz w:val="20"/>
          <w:szCs w:val="20"/>
        </w:rPr>
        <w:t xml:space="preserve"> związaną</w:t>
      </w:r>
      <w:r w:rsidR="000F23E0" w:rsidRPr="00040F99">
        <w:rPr>
          <w:rFonts w:ascii="Arial" w:hAnsi="Arial" w:cs="Arial"/>
          <w:b/>
          <w:sz w:val="20"/>
          <w:szCs w:val="20"/>
        </w:rPr>
        <w:t xml:space="preserve"> </w:t>
      </w:r>
      <w:r w:rsidR="00D16998" w:rsidRPr="00040F99">
        <w:rPr>
          <w:rFonts w:ascii="Arial" w:hAnsi="Arial" w:cs="Arial"/>
          <w:b/>
          <w:iCs/>
          <w:sz w:val="20"/>
          <w:szCs w:val="20"/>
        </w:rPr>
        <w:t xml:space="preserve">z </w:t>
      </w:r>
      <w:r w:rsidR="00F22E78" w:rsidRPr="00040F99">
        <w:rPr>
          <w:rFonts w:ascii="Arial" w:hAnsi="Arial" w:cs="Arial"/>
          <w:b/>
          <w:iCs/>
          <w:sz w:val="20"/>
          <w:szCs w:val="20"/>
        </w:rPr>
        <w:t>budową, przebudową, rozbudową lub remontem</w:t>
      </w:r>
      <w:r w:rsidR="00D16998" w:rsidRPr="00040F99">
        <w:rPr>
          <w:rFonts w:ascii="Arial" w:hAnsi="Arial" w:cs="Arial"/>
          <w:b/>
          <w:iCs/>
          <w:sz w:val="20"/>
          <w:szCs w:val="20"/>
        </w:rPr>
        <w:t xml:space="preserve"> </w:t>
      </w:r>
      <w:r w:rsidR="00557435" w:rsidRPr="00040F99">
        <w:rPr>
          <w:rFonts w:ascii="Arial" w:hAnsi="Arial" w:cs="Arial"/>
          <w:b/>
          <w:iCs/>
          <w:sz w:val="20"/>
          <w:szCs w:val="20"/>
        </w:rPr>
        <w:t>drogi asfaltowej</w:t>
      </w:r>
      <w:r w:rsidR="00FF2D2F" w:rsidRPr="00040F99">
        <w:rPr>
          <w:rFonts w:ascii="Arial" w:hAnsi="Arial" w:cs="Arial"/>
          <w:b/>
          <w:iCs/>
          <w:sz w:val="20"/>
          <w:szCs w:val="20"/>
        </w:rPr>
        <w:t xml:space="preserve"> </w:t>
      </w:r>
      <w:r w:rsidR="00D16998" w:rsidRPr="00040F99">
        <w:rPr>
          <w:rFonts w:ascii="Arial" w:hAnsi="Arial" w:cs="Arial"/>
          <w:b/>
          <w:iCs/>
          <w:sz w:val="20"/>
          <w:szCs w:val="20"/>
        </w:rPr>
        <w:t xml:space="preserve">o wartości brutto nie mniejszej niż </w:t>
      </w:r>
      <w:r w:rsidR="00557435" w:rsidRPr="00040F99">
        <w:rPr>
          <w:rFonts w:ascii="Arial" w:hAnsi="Arial" w:cs="Arial"/>
          <w:b/>
          <w:iCs/>
          <w:sz w:val="20"/>
          <w:szCs w:val="20"/>
        </w:rPr>
        <w:t>5</w:t>
      </w:r>
      <w:r w:rsidR="00FF2D2F" w:rsidRPr="00040F99">
        <w:rPr>
          <w:rFonts w:ascii="Arial" w:hAnsi="Arial" w:cs="Arial"/>
          <w:b/>
          <w:iCs/>
          <w:sz w:val="20"/>
          <w:szCs w:val="20"/>
        </w:rPr>
        <w:t>0</w:t>
      </w:r>
      <w:r w:rsidR="00D16998" w:rsidRPr="00040F99">
        <w:rPr>
          <w:rFonts w:ascii="Arial" w:hAnsi="Arial" w:cs="Arial"/>
          <w:b/>
          <w:iCs/>
          <w:sz w:val="20"/>
          <w:szCs w:val="20"/>
        </w:rPr>
        <w:t>0 000,00 zł (</w:t>
      </w:r>
      <w:r w:rsidR="00557435" w:rsidRPr="00040F99">
        <w:rPr>
          <w:rFonts w:ascii="Arial" w:hAnsi="Arial" w:cs="Arial"/>
          <w:b/>
          <w:iCs/>
          <w:sz w:val="20"/>
          <w:szCs w:val="20"/>
        </w:rPr>
        <w:t>pięćset tysięcy</w:t>
      </w:r>
      <w:r w:rsidR="00FF2D2F" w:rsidRPr="00040F99">
        <w:rPr>
          <w:rFonts w:ascii="Arial" w:hAnsi="Arial" w:cs="Arial"/>
          <w:b/>
          <w:iCs/>
          <w:sz w:val="20"/>
          <w:szCs w:val="20"/>
        </w:rPr>
        <w:t xml:space="preserve"> </w:t>
      </w:r>
      <w:r w:rsidR="00D16998" w:rsidRPr="00040F99">
        <w:rPr>
          <w:rFonts w:ascii="Arial" w:hAnsi="Arial" w:cs="Arial"/>
          <w:b/>
          <w:iCs/>
          <w:sz w:val="20"/>
          <w:szCs w:val="20"/>
        </w:rPr>
        <w:t>złotych 00/100)</w:t>
      </w:r>
      <w:r w:rsidR="00AF22D0" w:rsidRPr="00040F99">
        <w:rPr>
          <w:rFonts w:ascii="Arial" w:hAnsi="Arial" w:cs="Arial"/>
          <w:b/>
          <w:iCs/>
          <w:sz w:val="20"/>
          <w:szCs w:val="20"/>
        </w:rPr>
        <w:t xml:space="preserve"> </w:t>
      </w:r>
      <w:r w:rsidR="00D16998" w:rsidRPr="00040F99">
        <w:rPr>
          <w:rFonts w:ascii="Arial" w:hAnsi="Arial" w:cs="Arial"/>
          <w:b/>
          <w:iCs/>
          <w:sz w:val="20"/>
          <w:szCs w:val="20"/>
        </w:rPr>
        <w:t>oraz potwierdzi dowodami że roboty budowlane zostały wykonane należycie</w:t>
      </w:r>
      <w:r w:rsidR="00F61F9C" w:rsidRPr="00040F99">
        <w:rPr>
          <w:rFonts w:ascii="Arial" w:hAnsi="Arial" w:cs="Arial"/>
          <w:b/>
          <w:iCs/>
          <w:sz w:val="20"/>
          <w:szCs w:val="20"/>
        </w:rPr>
        <w:t>*</w:t>
      </w:r>
      <w:r w:rsidR="0011782D" w:rsidRPr="00040F99">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rsidR="00926C98" w:rsidRPr="000349C3" w:rsidRDefault="00032BB5" w:rsidP="00D16998">
      <w:pPr>
        <w:spacing w:before="120" w:after="120"/>
        <w:jc w:val="both"/>
        <w:rPr>
          <w:rFonts w:ascii="Arial" w:hAnsi="Arial" w:cs="Arial"/>
          <w:b/>
          <w:iCs/>
          <w:strike/>
          <w:sz w:val="20"/>
          <w:szCs w:val="20"/>
        </w:rPr>
      </w:pPr>
      <w:r w:rsidRPr="000349C3">
        <w:rPr>
          <w:rFonts w:ascii="Arial" w:hAnsi="Arial" w:cs="Arial"/>
          <w:b/>
          <w:iCs/>
          <w:sz w:val="20"/>
          <w:szCs w:val="20"/>
        </w:rPr>
        <w:t xml:space="preserve">Zamawiający zastrzega, ze w przypadku składania ofert na dwie części warunek udziału </w:t>
      </w:r>
      <w:r w:rsidRPr="000349C3">
        <w:rPr>
          <w:rFonts w:ascii="Arial" w:hAnsi="Arial" w:cs="Arial"/>
          <w:b/>
          <w:iCs/>
          <w:sz w:val="20"/>
          <w:szCs w:val="20"/>
        </w:rPr>
        <w:br/>
        <w:t>w postępowaniu dotyczący zdolności technicznej lub zawodowej musi być spełniony osobno dla każdej części</w:t>
      </w:r>
      <w:r w:rsidR="00DC6DC0" w:rsidRPr="000349C3">
        <w:rPr>
          <w:rFonts w:ascii="Arial" w:hAnsi="Arial" w:cs="Arial"/>
          <w:b/>
          <w:iCs/>
          <w:sz w:val="20"/>
          <w:szCs w:val="20"/>
        </w:rPr>
        <w:t>.</w:t>
      </w:r>
    </w:p>
    <w:p w:rsidR="00506E9E" w:rsidRPr="00653C09" w:rsidRDefault="00674D4A" w:rsidP="00D16998">
      <w:pPr>
        <w:spacing w:before="120" w:after="120"/>
        <w:jc w:val="both"/>
        <w:rPr>
          <w:rFonts w:ascii="Arial" w:hAnsi="Arial" w:cs="Arial"/>
          <w:b/>
          <w:iCs/>
          <w:sz w:val="20"/>
          <w:szCs w:val="20"/>
        </w:rPr>
      </w:pPr>
      <w:r w:rsidRPr="00653C09">
        <w:rPr>
          <w:rFonts w:ascii="Arial" w:hAnsi="Arial" w:cs="Arial"/>
          <w:b/>
          <w:iCs/>
          <w:sz w:val="20"/>
          <w:szCs w:val="20"/>
        </w:rPr>
        <w:t>o</w:t>
      </w:r>
      <w:r w:rsidR="00506E9E" w:rsidRPr="00653C09">
        <w:rPr>
          <w:rFonts w:ascii="Arial" w:hAnsi="Arial" w:cs="Arial"/>
          <w:b/>
          <w:iCs/>
          <w:sz w:val="20"/>
          <w:szCs w:val="20"/>
        </w:rPr>
        <w:t>raz</w:t>
      </w:r>
      <w:r w:rsidRPr="00653C09">
        <w:rPr>
          <w:rFonts w:ascii="Arial" w:hAnsi="Arial" w:cs="Arial"/>
          <w:b/>
          <w:iCs/>
          <w:sz w:val="20"/>
          <w:szCs w:val="20"/>
        </w:rPr>
        <w:t xml:space="preserve"> dla każdej części</w:t>
      </w:r>
      <w:r w:rsidR="00F90D42" w:rsidRPr="00653C09">
        <w:rPr>
          <w:rFonts w:ascii="Arial" w:hAnsi="Arial" w:cs="Arial"/>
          <w:b/>
          <w:iCs/>
          <w:sz w:val="20"/>
          <w:szCs w:val="20"/>
        </w:rPr>
        <w:t>:</w:t>
      </w:r>
      <w:r w:rsidRPr="00653C09">
        <w:rPr>
          <w:rFonts w:ascii="Arial" w:hAnsi="Arial" w:cs="Arial"/>
          <w:b/>
          <w:iCs/>
          <w:sz w:val="20"/>
          <w:szCs w:val="20"/>
        </w:rPr>
        <w:t xml:space="preserve"> </w:t>
      </w:r>
    </w:p>
    <w:p w:rsidR="00674D4A" w:rsidRPr="00020372" w:rsidRDefault="00674D4A" w:rsidP="00674D4A">
      <w:pPr>
        <w:jc w:val="both"/>
        <w:rPr>
          <w:rFonts w:ascii="Arial" w:hAnsi="Arial" w:cs="Arial"/>
          <w:b/>
          <w:sz w:val="20"/>
          <w:szCs w:val="20"/>
        </w:rPr>
      </w:pPr>
      <w:r w:rsidRPr="00020372">
        <w:rPr>
          <w:rFonts w:ascii="Arial" w:hAnsi="Arial" w:cs="Arial"/>
          <w:iCs/>
          <w:sz w:val="20"/>
          <w:szCs w:val="20"/>
        </w:rPr>
        <w:t xml:space="preserve">- </w:t>
      </w:r>
      <w:r w:rsidRPr="00020372">
        <w:rPr>
          <w:rFonts w:ascii="Arial" w:hAnsi="Arial" w:cs="Arial"/>
          <w:sz w:val="20"/>
          <w:szCs w:val="20"/>
        </w:rPr>
        <w:t xml:space="preserve">dysponuje osobą, która posiada stosowne </w:t>
      </w:r>
      <w:r w:rsidRPr="00020372">
        <w:rPr>
          <w:rFonts w:ascii="Arial" w:hAnsi="Arial" w:cs="Arial"/>
          <w:b/>
          <w:sz w:val="20"/>
          <w:szCs w:val="20"/>
        </w:rPr>
        <w:t>uprawnienia budowlane w specjalności inżynieryjnej drogowej, tj. osoba z uprawnieniami do kierowania i nadzoru robót budowlanych w specjalności inżynieryjnej drogowej bez ograniczeń lub odpowiadającymi im, ważnymi uprawnieniami budowlanymi</w:t>
      </w:r>
      <w:r w:rsidRPr="00020372">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020372">
        <w:rPr>
          <w:rFonts w:ascii="Arial" w:hAnsi="Arial" w:cs="Arial"/>
          <w:b/>
          <w:sz w:val="20"/>
          <w:szCs w:val="20"/>
        </w:rPr>
        <w:t xml:space="preserve"> posiadającą co najmniej 3-letnie doświadczenie zawodowe liczone od dnia uzyskania uprawnień, w zakresie odpowiadającym posiadanym uprawnieniom</w:t>
      </w:r>
      <w:r w:rsidRPr="00020372">
        <w:rPr>
          <w:rFonts w:ascii="Arial" w:hAnsi="Arial" w:cs="Arial"/>
          <w:sz w:val="20"/>
          <w:szCs w:val="20"/>
        </w:rPr>
        <w:t xml:space="preserve"> </w:t>
      </w:r>
      <w:r w:rsidRPr="00020372">
        <w:rPr>
          <w:rFonts w:ascii="Arial" w:hAnsi="Arial" w:cs="Arial"/>
          <w:b/>
          <w:sz w:val="20"/>
          <w:szCs w:val="20"/>
        </w:rPr>
        <w:t>oraz informacją o podstawie do dysponowania tymi osobami.</w:t>
      </w:r>
    </w:p>
    <w:p w:rsidR="00513154" w:rsidRDefault="00513154"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w:t>
      </w:r>
      <w:r w:rsidR="00581C37">
        <w:rPr>
          <w:rFonts w:ascii="Arial" w:hAnsi="Arial" w:cs="Arial"/>
          <w:i/>
          <w:sz w:val="20"/>
        </w:rPr>
        <w:t>zadań</w:t>
      </w:r>
      <w:r w:rsidRPr="00CE7763">
        <w:rPr>
          <w:rFonts w:ascii="Arial" w:hAnsi="Arial" w:cs="Arial"/>
          <w:i/>
          <w:sz w:val="20"/>
        </w:rPr>
        <w:t xml:space="preserve">, terminach realizacji oraz pełnionej funkcji. Okresy zrealizowanych </w:t>
      </w:r>
      <w:r w:rsidR="00581C37">
        <w:rPr>
          <w:rFonts w:ascii="Arial" w:hAnsi="Arial" w:cs="Arial"/>
          <w:i/>
          <w:sz w:val="20"/>
        </w:rPr>
        <w:t>zadań</w:t>
      </w:r>
      <w:r w:rsidRPr="00CE7763">
        <w:rPr>
          <w:rFonts w:ascii="Arial" w:hAnsi="Arial" w:cs="Arial"/>
          <w:i/>
          <w:sz w:val="20"/>
        </w:rPr>
        <w:t>,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F46571" w:rsidRDefault="00506E9E" w:rsidP="00506E9E">
      <w:pPr>
        <w:spacing w:before="120" w:after="120"/>
        <w:jc w:val="both"/>
        <w:rPr>
          <w:rFonts w:ascii="Arial" w:hAnsi="Arial" w:cs="Arial"/>
          <w:b/>
          <w:sz w:val="20"/>
          <w:szCs w:val="20"/>
        </w:rPr>
      </w:pPr>
      <w:r w:rsidRPr="00F46571">
        <w:rPr>
          <w:rFonts w:ascii="Arial" w:hAnsi="Arial" w:cs="Arial"/>
          <w:b/>
          <w:sz w:val="20"/>
          <w:szCs w:val="20"/>
        </w:rPr>
        <w:t>- Zamawiający dopuszcza, aby</w:t>
      </w:r>
      <w:r w:rsidR="00664F66" w:rsidRPr="00F46571">
        <w:rPr>
          <w:rFonts w:ascii="Arial" w:hAnsi="Arial" w:cs="Arial"/>
          <w:b/>
          <w:iCs/>
          <w:sz w:val="20"/>
          <w:szCs w:val="20"/>
        </w:rPr>
        <w:t xml:space="preserve"> w przypadku składania ofert na dwie części</w:t>
      </w:r>
      <w:r w:rsidRPr="00F46571">
        <w:rPr>
          <w:rFonts w:ascii="Arial" w:hAnsi="Arial" w:cs="Arial"/>
          <w:b/>
          <w:sz w:val="20"/>
          <w:szCs w:val="20"/>
        </w:rPr>
        <w:t xml:space="preserve"> </w:t>
      </w:r>
      <w:r w:rsidR="00F90D42" w:rsidRPr="00F46571">
        <w:rPr>
          <w:rFonts w:ascii="Arial" w:hAnsi="Arial" w:cs="Arial"/>
          <w:b/>
          <w:sz w:val="20"/>
          <w:szCs w:val="20"/>
        </w:rPr>
        <w:t>ten sam kierownik był przedstawiony dla dwóch części</w:t>
      </w:r>
      <w:r w:rsidRPr="00F46571">
        <w:rPr>
          <w:rFonts w:ascii="Arial" w:hAnsi="Arial" w:cs="Arial"/>
          <w:b/>
          <w:sz w:val="20"/>
          <w:szCs w:val="20"/>
        </w:rPr>
        <w:t xml:space="preserve">.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Pr="00CE7763">
        <w:rPr>
          <w:rFonts w:ascii="Arial" w:hAnsi="Arial" w:cs="Arial"/>
          <w:sz w:val="20"/>
          <w:szCs w:val="20"/>
        </w:rPr>
        <w:t>Dz. U. z 202</w:t>
      </w:r>
      <w:r w:rsidR="0092034F">
        <w:rPr>
          <w:rFonts w:ascii="Arial" w:hAnsi="Arial" w:cs="Arial"/>
          <w:sz w:val="20"/>
          <w:szCs w:val="20"/>
        </w:rPr>
        <w:t>1</w:t>
      </w:r>
      <w:r w:rsidRPr="00CE7763">
        <w:rPr>
          <w:rFonts w:ascii="Arial" w:hAnsi="Arial" w:cs="Arial"/>
          <w:sz w:val="20"/>
          <w:szCs w:val="20"/>
        </w:rPr>
        <w:t xml:space="preserve">, poz. </w:t>
      </w:r>
      <w:r w:rsidR="0092034F">
        <w:rPr>
          <w:rFonts w:ascii="Arial" w:hAnsi="Arial" w:cs="Arial"/>
          <w:sz w:val="20"/>
          <w:szCs w:val="20"/>
        </w:rPr>
        <w:t xml:space="preserve">1646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lastRenderedPageBreak/>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25973646"/>
      <w:r w:rsidR="003D1E9C" w:rsidRPr="00020372">
        <w:rPr>
          <w:rFonts w:ascii="Arial" w:hAnsi="Arial" w:cs="Arial"/>
          <w:sz w:val="20"/>
          <w:szCs w:val="20"/>
          <w:highlight w:val="lightGray"/>
        </w:rPr>
        <w:t>PODSTAWY WYKLUCZENIA Z POSTĘPOWANIA.</w:t>
      </w:r>
      <w:bookmarkEnd w:id="19"/>
    </w:p>
    <w:p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rsidR="007F683D" w:rsidRPr="00020372" w:rsidRDefault="0000632B" w:rsidP="00FF3713">
      <w:pPr>
        <w:pStyle w:val="Nagwek2"/>
      </w:pPr>
      <w:r w:rsidRPr="00020372">
        <w:t xml:space="preserve">a) </w:t>
      </w:r>
      <w:r w:rsidR="007F683D" w:rsidRPr="00020372">
        <w:t>będącego osobą fizyczną, którego prawomocnie skazano za przestępstwo:</w:t>
      </w:r>
    </w:p>
    <w:p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r w:rsidR="007F683D" w:rsidRPr="00020372">
        <w:t>,</w:t>
      </w:r>
    </w:p>
    <w:p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rsidR="007F683D" w:rsidRPr="00020372" w:rsidRDefault="007F683D" w:rsidP="00FF3713">
      <w:pPr>
        <w:pStyle w:val="Nagwek2"/>
      </w:pPr>
      <w:r w:rsidRPr="00020372">
        <w:t>lub za odpowiedni czyn zabroniony określony w przepisach prawa obcego;</w:t>
      </w:r>
    </w:p>
    <w:p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 xml:space="preserve">w spółce jawnej lub partnerskiej albo komplementariusza w spółce komandytowej lub komandytowo-akcyjnej lub prokurenta prawomocnie skazano za przestępstwo, o którym mowa w </w:t>
      </w:r>
      <w:proofErr w:type="spellStart"/>
      <w:r w:rsidR="007F683D" w:rsidRPr="00020372">
        <w:t>pkt</w:t>
      </w:r>
      <w:proofErr w:type="spellEnd"/>
      <w:r w:rsidR="007F683D" w:rsidRPr="00020372">
        <w:t xml:space="preserve"> 1;</w:t>
      </w:r>
    </w:p>
    <w:p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FF3713">
      <w:pPr>
        <w:pStyle w:val="Nagwek2"/>
      </w:pPr>
      <w:r w:rsidRPr="00020372">
        <w:t xml:space="preserve">d) </w:t>
      </w:r>
      <w:r w:rsidR="007F683D" w:rsidRPr="00020372">
        <w:t>wobec którego prawomocnie orzeczono zakaz ubiegania się o zamówienia publiczne;</w:t>
      </w:r>
    </w:p>
    <w:p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 xml:space="preserve">w rozumieniu ustawy z dnia 16 lutego 2007 r. o ochronie </w:t>
      </w:r>
      <w:r w:rsidR="007F683D" w:rsidRPr="00020372">
        <w:lastRenderedPageBreak/>
        <w:t>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w:t>
      </w:r>
      <w:proofErr w:type="spellStart"/>
      <w:r w:rsidR="007F683D" w:rsidRPr="00020372">
        <w:t>pkt</w:t>
      </w:r>
      <w:proofErr w:type="spellEnd"/>
      <w:r w:rsidR="007F683D" w:rsidRPr="00020372">
        <w:t xml:space="preserve"> </w:t>
      </w:r>
      <w:r w:rsidR="001A301B" w:rsidRPr="00020372">
        <w:t>5</w:t>
      </w:r>
      <w:r w:rsidRPr="00020372">
        <w:t xml:space="preserve"> ustawy Pzp:</w:t>
      </w:r>
      <w:r w:rsidR="001A301B" w:rsidRPr="00020372">
        <w:t xml:space="preserve"> </w:t>
      </w:r>
    </w:p>
    <w:p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rsidR="00C9131E" w:rsidRPr="00C9131E" w:rsidRDefault="00C9131E" w:rsidP="00FF3713">
      <w:pPr>
        <w:pStyle w:val="Nagwek2"/>
      </w:pPr>
      <w:r w:rsidRPr="00C9131E">
        <w:t xml:space="preserve">10.2. Zgodnie z art. 1 </w:t>
      </w:r>
      <w:proofErr w:type="spellStart"/>
      <w:r w:rsidRPr="00C9131E">
        <w:t>pkt</w:t>
      </w:r>
      <w:proofErr w:type="spellEnd"/>
      <w:r w:rsidRPr="00C9131E">
        <w:t xml:space="preserve">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FF3713">
      <w:pPr>
        <w:pStyle w:val="Nagwek2"/>
      </w:pPr>
      <w:r w:rsidRPr="00C9131E">
        <w:t>10.2.1 Na podstawie art. 7 ust. 1 ustawy o przeciwdziałaniu agresji z postępowania o udzielenie zamówienia publicznego lub konkursu prowadzonego na podstawie ustawy Pzp wyklucza się:</w:t>
      </w:r>
    </w:p>
    <w:p w:rsidR="00C9131E" w:rsidRPr="00C9131E" w:rsidRDefault="00C9131E" w:rsidP="00FF3713">
      <w:pPr>
        <w:pStyle w:val="Nagwek2"/>
      </w:pPr>
      <w:r w:rsidRPr="00C9131E">
        <w:t xml:space="preserve">1) wykonawcę oraz uczestnika konkursu wymienionego w wykazach określonych </w:t>
      </w:r>
      <w:r>
        <w:br/>
      </w:r>
      <w:r w:rsidRPr="00C9131E">
        <w:t xml:space="preserve">w rozporządzeniu 765/2006 i rozporządzeniu 269/2014 albo wpisanego na listę na podstawie decyzji w sprawie wpisu na listę rozstrzygającej o zastosowaniu środka, o którym mowa w art. 1 </w:t>
      </w:r>
      <w:proofErr w:type="spellStart"/>
      <w:r w:rsidRPr="00C9131E">
        <w:t>pkt</w:t>
      </w:r>
      <w:proofErr w:type="spellEnd"/>
      <w:r w:rsidRPr="00C9131E">
        <w:t xml:space="preserve"> 3 o przeciwdziałaniu agresji;</w:t>
      </w:r>
    </w:p>
    <w:p w:rsidR="00C9131E" w:rsidRPr="00C9131E" w:rsidRDefault="00C9131E" w:rsidP="00FF3713">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 xml:space="preserve">. </w:t>
      </w:r>
      <w:r w:rsidRPr="00C9131E">
        <w:t xml:space="preserve">Dz. U. </w:t>
      </w:r>
      <w:r w:rsidR="006616A1">
        <w:br/>
      </w:r>
      <w:r w:rsidRPr="00C9131E">
        <w:t xml:space="preserve">z 2022 r. poz. 593 i 655) jest osoba wymieniona w wykazach określonych w rozporządzeniu 765/2006 </w:t>
      </w:r>
      <w:r w:rsidR="006616A1">
        <w:br/>
      </w:r>
      <w:r w:rsidRPr="00C9131E">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9131E">
        <w:t>pkt</w:t>
      </w:r>
      <w:proofErr w:type="spellEnd"/>
      <w:r w:rsidRPr="00C9131E">
        <w:t xml:space="preserve"> 3 ustawy o przeciwdziałaniu agresji;</w:t>
      </w:r>
    </w:p>
    <w:p w:rsidR="00C9131E" w:rsidRPr="00C9131E" w:rsidRDefault="00C9131E" w:rsidP="00FF3713">
      <w:pPr>
        <w:pStyle w:val="Nagwek2"/>
      </w:pPr>
      <w:r w:rsidRPr="00C9131E">
        <w:t xml:space="preserve">3) wykonawcę oraz uczestnika konkursu, którego jednostką dominującą w rozumieniu art. 3 ust. 1 </w:t>
      </w:r>
      <w:proofErr w:type="spellStart"/>
      <w:r w:rsidRPr="00C9131E">
        <w:t>pkt</w:t>
      </w:r>
      <w:proofErr w:type="spellEnd"/>
      <w:r w:rsidRPr="00C9131E">
        <w:t xml:space="preserve">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t>pkt</w:t>
      </w:r>
      <w:proofErr w:type="spellEnd"/>
      <w:r w:rsidRPr="00C9131E">
        <w:t xml:space="preserve"> 3 ustawy o przeciwdziałaniu agresji.</w:t>
      </w:r>
    </w:p>
    <w:p w:rsidR="00C9131E" w:rsidRPr="00C9131E" w:rsidRDefault="00C9131E" w:rsidP="00FF3713">
      <w:pPr>
        <w:pStyle w:val="Nagwek2"/>
      </w:pPr>
      <w:r w:rsidRPr="00C9131E">
        <w:t>10.2.2. Powyższe podstawy wykluczenia, mają zastosowanie w okresie trwania okoliczności o których mowa w pkt. 10.2.</w:t>
      </w:r>
    </w:p>
    <w:p w:rsidR="00C9131E" w:rsidRPr="00C9131E" w:rsidRDefault="00C9131E" w:rsidP="00FF371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rsidR="00C9131E" w:rsidRPr="00C9131E" w:rsidRDefault="00C9131E" w:rsidP="00FF3713">
      <w:pPr>
        <w:pStyle w:val="Nagwek2"/>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rsidR="00C9131E" w:rsidRPr="00C9131E" w:rsidRDefault="00C9131E" w:rsidP="00FF3713">
      <w:pPr>
        <w:pStyle w:val="Nagwek2"/>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rsidR="00C9131E" w:rsidRPr="00020372" w:rsidRDefault="00C9131E" w:rsidP="00FF3713">
      <w:pPr>
        <w:pStyle w:val="Nagwek2"/>
      </w:pPr>
      <w: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5973647"/>
      <w:r w:rsidRPr="00020372">
        <w:rPr>
          <w:rFonts w:ascii="Arial" w:hAnsi="Arial" w:cs="Arial"/>
          <w:sz w:val="20"/>
          <w:szCs w:val="20"/>
          <w:highlight w:val="lightGray"/>
        </w:rPr>
        <w:lastRenderedPageBreak/>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3D1E9C" w:rsidRPr="00020372">
        <w:t>;</w:t>
      </w:r>
    </w:p>
    <w:p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rsidR="003D1E9C" w:rsidRPr="00020372" w:rsidRDefault="00336354" w:rsidP="00FF3713">
      <w:pPr>
        <w:pStyle w:val="Nagwek2"/>
      </w:pPr>
      <w:r w:rsidRPr="00020372">
        <w:t>Podmiotowe środki dowodowe wymagane od wykonawcy obejmują:</w:t>
      </w:r>
    </w:p>
    <w:p w:rsidR="003D1E9C" w:rsidRPr="00020372" w:rsidRDefault="003D1E9C" w:rsidP="00FF3713">
      <w:pPr>
        <w:pStyle w:val="Nagwek2"/>
      </w:pPr>
      <w:r w:rsidRPr="00020372">
        <w:t>1)</w:t>
      </w:r>
      <w:r w:rsidR="00782028" w:rsidRPr="00020372">
        <w:t xml:space="preserve"> </w:t>
      </w:r>
      <w:r w:rsidRPr="00020372">
        <w:t xml:space="preserve">Oświadczenie wykonawcy, w zakresie art. 108 ust. 1 </w:t>
      </w:r>
      <w:proofErr w:type="spellStart"/>
      <w:r w:rsidRPr="00020372">
        <w:t>pkt</w:t>
      </w:r>
      <w:proofErr w:type="spellEnd"/>
      <w:r w:rsidRPr="00020372">
        <w:t xml:space="preserve">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rsidR="0090179E" w:rsidRPr="00020372" w:rsidRDefault="0090179E" w:rsidP="00FF3713">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r w:rsidRPr="00020372">
        <w:t>.</w:t>
      </w:r>
    </w:p>
    <w:p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F44CAF" w:rsidRPr="00020372" w:rsidRDefault="00F44CAF" w:rsidP="00FF3713">
      <w:pPr>
        <w:pStyle w:val="Nagwek2"/>
      </w:pPr>
    </w:p>
    <w:p w:rsidR="008A0411" w:rsidRPr="00020372" w:rsidRDefault="0018358F" w:rsidP="000C6F7A">
      <w:pPr>
        <w:pStyle w:val="Nagwek1"/>
        <w:rPr>
          <w:rFonts w:ascii="Arial" w:hAnsi="Arial" w:cs="Arial"/>
          <w:sz w:val="20"/>
          <w:szCs w:val="20"/>
          <w:highlight w:val="lightGray"/>
        </w:rPr>
      </w:pPr>
      <w:bookmarkStart w:id="21" w:name="_Toc125973648"/>
      <w:r w:rsidRPr="00020372">
        <w:rPr>
          <w:rFonts w:ascii="Arial" w:hAnsi="Arial" w:cs="Arial"/>
          <w:sz w:val="20"/>
          <w:szCs w:val="20"/>
          <w:highlight w:val="lightGray"/>
        </w:rPr>
        <w:lastRenderedPageBreak/>
        <w:t>POLEGANIE NA ZASOBACH INNYCH PODMIOTÓW.</w:t>
      </w:r>
      <w:bookmarkEnd w:id="21"/>
    </w:p>
    <w:p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FF3713">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5973649"/>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25973650"/>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3"/>
    </w:p>
    <w:p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rsidR="004E3603" w:rsidRPr="00020372" w:rsidRDefault="00FD4B0C" w:rsidP="00FF3713">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w:t>
      </w:r>
      <w:r w:rsidR="00060E95" w:rsidRPr="00020372">
        <w:lastRenderedPageBreak/>
        <w:t>elektronicznej, w ogólnie dostępnych formatach danych, w szczególności w formatach .</w:t>
      </w:r>
      <w:proofErr w:type="spellStart"/>
      <w:r w:rsidR="00060E95" w:rsidRPr="00020372">
        <w:t>txt</w:t>
      </w:r>
      <w:proofErr w:type="spellEnd"/>
      <w:r w:rsidR="00060E95" w:rsidRPr="00020372">
        <w:t>, .</w:t>
      </w:r>
      <w:proofErr w:type="spellStart"/>
      <w:r w:rsidR="00060E95" w:rsidRPr="00020372">
        <w:t>rtf</w:t>
      </w:r>
      <w:proofErr w:type="spellEnd"/>
      <w:r w:rsidR="00060E95" w:rsidRPr="00020372">
        <w:t xml:space="preserve">, </w:t>
      </w:r>
      <w:proofErr w:type="spellStart"/>
      <w:r w:rsidR="00060E95" w:rsidRPr="00020372">
        <w:t>.pd</w:t>
      </w:r>
      <w:proofErr w:type="spellEnd"/>
      <w:r w:rsidR="00060E95" w:rsidRPr="00020372">
        <w:t>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rsidR="0089730C" w:rsidRPr="00020372" w:rsidRDefault="00060E95" w:rsidP="00FF3713">
      <w:pPr>
        <w:pStyle w:val="Nagwek2"/>
      </w:pPr>
      <w:r w:rsidRPr="00020372">
        <w:t>4)</w:t>
      </w:r>
      <w:r w:rsidR="0089730C" w:rsidRPr="00020372">
        <w:t xml:space="preserve"> włączona obsługa </w:t>
      </w:r>
      <w:proofErr w:type="spellStart"/>
      <w:r w:rsidR="0089730C" w:rsidRPr="00020372">
        <w:t>JavaScript</w:t>
      </w:r>
      <w:proofErr w:type="spellEnd"/>
      <w:r w:rsidR="0089730C" w:rsidRPr="00020372">
        <w:t>,</w:t>
      </w:r>
    </w:p>
    <w:p w:rsidR="0089730C" w:rsidRPr="00020372" w:rsidRDefault="0089730C" w:rsidP="00FF3713">
      <w:pPr>
        <w:pStyle w:val="Nagwek2"/>
      </w:pPr>
      <w:r w:rsidRPr="00020372">
        <w:t xml:space="preserve">5) zainstalowany program </w:t>
      </w:r>
      <w:proofErr w:type="spellStart"/>
      <w:r w:rsidRPr="00020372">
        <w:t>Adobe</w:t>
      </w:r>
      <w:proofErr w:type="spellEnd"/>
      <w:r w:rsidRPr="00020372">
        <w:t xml:space="preserve"> </w:t>
      </w:r>
      <w:proofErr w:type="spellStart"/>
      <w:r w:rsidRPr="00020372">
        <w:t>Acrobat</w:t>
      </w:r>
      <w:proofErr w:type="spellEnd"/>
      <w:r w:rsidRPr="00020372">
        <w:t xml:space="preserve"> </w:t>
      </w:r>
      <w:proofErr w:type="spellStart"/>
      <w:r w:rsidRPr="00020372">
        <w:t>Reader</w:t>
      </w:r>
      <w:proofErr w:type="spellEnd"/>
      <w:r w:rsidRPr="00020372">
        <w:t xml:space="preserve"> lub inny obsługujący</w:t>
      </w:r>
      <w:r w:rsidR="00060E95" w:rsidRPr="00020372">
        <w:tab/>
      </w:r>
      <w:r w:rsidRPr="00020372">
        <w:t xml:space="preserve">format plików </w:t>
      </w:r>
      <w:proofErr w:type="spellStart"/>
      <w:r w:rsidRPr="00020372">
        <w:t>.pd</w:t>
      </w:r>
      <w:proofErr w:type="spellEnd"/>
      <w:r w:rsidRPr="00020372">
        <w:t>f,</w:t>
      </w:r>
    </w:p>
    <w:p w:rsidR="0089730C" w:rsidRPr="00020372" w:rsidRDefault="0089730C" w:rsidP="00FF3713">
      <w:pPr>
        <w:pStyle w:val="Nagwek2"/>
      </w:pPr>
      <w:r w:rsidRPr="00020372">
        <w:t>6) Platforma działa według standardu przyjętego w komunikacji sieciowej – kodowanie UTF8,</w:t>
      </w:r>
    </w:p>
    <w:p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w:t>
      </w:r>
      <w:r w:rsidR="0079220B" w:rsidRPr="00020372">
        <w:lastRenderedPageBreak/>
        <w:t xml:space="preserve">przed upływem terminu składania ofert (np. złożenie oferty w zakładce „Wyślij wiadomość do zamawiającego”). </w:t>
      </w:r>
    </w:p>
    <w:p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FB731F" w:rsidP="00FF3713">
      <w:pPr>
        <w:pStyle w:val="Nagwek2"/>
      </w:pPr>
      <w:hyperlink r:id="rId13" w:history="1">
        <w:r w:rsidR="0079220B" w:rsidRPr="00020372">
          <w:rPr>
            <w:rStyle w:val="Hipercze"/>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25973651"/>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(osobno dla każdej części)</w:t>
      </w:r>
      <w:r w:rsidR="003A2133" w:rsidRPr="00020372">
        <w:rPr>
          <w:rFonts w:ascii="Arial" w:hAnsi="Arial" w:cs="Arial"/>
          <w:sz w:val="20"/>
          <w:szCs w:val="20"/>
        </w:rPr>
        <w:t xml:space="preserve">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5973652"/>
      <w:r w:rsidRPr="00020372">
        <w:rPr>
          <w:rFonts w:ascii="Arial" w:hAnsi="Arial" w:cs="Arial"/>
          <w:sz w:val="20"/>
          <w:szCs w:val="20"/>
          <w:highlight w:val="lightGray"/>
        </w:rPr>
        <w:lastRenderedPageBreak/>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5973653"/>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DB0FDD" w:rsidRPr="00DB0FDD" w:rsidRDefault="00DB0FDD" w:rsidP="00FF3713">
      <w:pPr>
        <w:pStyle w:val="Nagwek2"/>
      </w:pPr>
      <w:r w:rsidRPr="00DB0FDD">
        <w:t>W przedmiotowym postępowaniu nie jest wymagane wadium.</w:t>
      </w:r>
    </w:p>
    <w:p w:rsidR="00D46E02" w:rsidRPr="00020372" w:rsidRDefault="00D46E02" w:rsidP="000C6F7A">
      <w:pPr>
        <w:pStyle w:val="Nagwek1"/>
        <w:rPr>
          <w:rFonts w:ascii="Arial" w:hAnsi="Arial" w:cs="Arial"/>
          <w:sz w:val="20"/>
          <w:szCs w:val="20"/>
          <w:highlight w:val="lightGray"/>
        </w:rPr>
      </w:pPr>
      <w:bookmarkStart w:id="29" w:name="_Toc125973654"/>
      <w:r w:rsidRPr="00020372">
        <w:rPr>
          <w:rFonts w:ascii="Arial" w:hAnsi="Arial" w:cs="Arial"/>
          <w:sz w:val="20"/>
          <w:szCs w:val="20"/>
          <w:highlight w:val="lightGray"/>
        </w:rPr>
        <w:t>TERMIN ZWIĄZANIA OFERTĄ.</w:t>
      </w:r>
      <w:bookmarkEnd w:id="29"/>
    </w:p>
    <w:p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0E2D5B" w:rsidRPr="00597729">
        <w:rPr>
          <w:b/>
          <w:color w:val="FF0000"/>
        </w:rPr>
        <w:t>22</w:t>
      </w:r>
      <w:r w:rsidR="00007E15" w:rsidRPr="00597729">
        <w:rPr>
          <w:b/>
          <w:color w:val="FF0000"/>
        </w:rPr>
        <w:t>.03.</w:t>
      </w:r>
      <w:r w:rsidR="005B1CEE" w:rsidRPr="00597729">
        <w:rPr>
          <w:b/>
          <w:color w:val="FF0000"/>
        </w:rPr>
        <w:t>202</w:t>
      </w:r>
      <w:r w:rsidR="008F237B" w:rsidRPr="00597729">
        <w:rPr>
          <w:b/>
          <w:color w:val="FF0000"/>
        </w:rPr>
        <w:t>3</w:t>
      </w:r>
      <w:r w:rsidR="005B1CEE" w:rsidRPr="00597729">
        <w:rPr>
          <w:b/>
          <w:color w:val="FF0000"/>
        </w:rPr>
        <w:t xml:space="preserve"> </w:t>
      </w:r>
      <w:r w:rsidR="00D46E02" w:rsidRPr="00597729">
        <w:rPr>
          <w:b/>
          <w:color w:val="FF0000"/>
        </w:rPr>
        <w:t>r.</w:t>
      </w:r>
      <w:r w:rsidR="00D46E02" w:rsidRPr="00007E15">
        <w:rPr>
          <w:b/>
        </w:rPr>
        <w:t xml:space="preserve"> </w:t>
      </w:r>
    </w:p>
    <w:p w:rsidR="00D46E02" w:rsidRPr="00020372" w:rsidRDefault="00D46E02" w:rsidP="00FF3713">
      <w:pPr>
        <w:pStyle w:val="Nagwek2"/>
      </w:pPr>
      <w:r w:rsidRPr="00020372">
        <w:t>Bieg terminu związania ofertą rozpoczyna się wraz z upływem terminu składania ofert.</w:t>
      </w:r>
    </w:p>
    <w:p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5973655"/>
      <w:r w:rsidR="0040646A" w:rsidRPr="00020372">
        <w:rPr>
          <w:rFonts w:ascii="Arial" w:hAnsi="Arial" w:cs="Arial"/>
          <w:sz w:val="20"/>
          <w:szCs w:val="20"/>
          <w:highlight w:val="lightGray"/>
        </w:rPr>
        <w:t>SPOSÓB I TERMIN SKŁADANIA I OTWARCIA OFERT</w:t>
      </w:r>
      <w:bookmarkEnd w:id="30"/>
    </w:p>
    <w:p w:rsidR="0040646A" w:rsidRPr="00020372" w:rsidRDefault="001F0140" w:rsidP="00FF3713">
      <w:pPr>
        <w:pStyle w:val="Nagwek2"/>
      </w:pPr>
      <w:r w:rsidRPr="00020372">
        <w:t>19</w:t>
      </w:r>
      <w:r w:rsidR="0040646A" w:rsidRPr="00020372">
        <w:t xml:space="preserve">.1. Ofertę należy złożyć poprzez Platformę do dnia </w:t>
      </w:r>
      <w:r w:rsidR="000E2D5B" w:rsidRPr="00597729">
        <w:rPr>
          <w:b/>
          <w:color w:val="FF0000"/>
        </w:rPr>
        <w:t>21</w:t>
      </w:r>
      <w:r w:rsidR="0014010B" w:rsidRPr="00597729">
        <w:rPr>
          <w:b/>
          <w:color w:val="FF0000"/>
        </w:rPr>
        <w:t>.02</w:t>
      </w:r>
      <w:r w:rsidR="002C694C" w:rsidRPr="00597729">
        <w:rPr>
          <w:b/>
          <w:color w:val="FF0000"/>
        </w:rPr>
        <w:t>.202</w:t>
      </w:r>
      <w:r w:rsidR="00B00960" w:rsidRPr="00597729">
        <w:rPr>
          <w:b/>
          <w:color w:val="FF0000"/>
        </w:rPr>
        <w:t>3</w:t>
      </w:r>
      <w:r w:rsidR="002C694C" w:rsidRPr="00597729">
        <w:rPr>
          <w:b/>
          <w:color w:val="FF0000"/>
        </w:rPr>
        <w:t xml:space="preserve"> r.</w:t>
      </w:r>
      <w:r w:rsidR="0040646A" w:rsidRPr="00597729">
        <w:rPr>
          <w:color w:val="FF0000"/>
        </w:rPr>
        <w:t xml:space="preserve"> do godziny </w:t>
      </w:r>
      <w:r w:rsidR="0040646A" w:rsidRPr="00597729">
        <w:rPr>
          <w:b/>
          <w:color w:val="FF0000"/>
        </w:rPr>
        <w:t>1</w:t>
      </w:r>
      <w:r w:rsidR="00201A87" w:rsidRPr="00597729">
        <w:rPr>
          <w:b/>
          <w:color w:val="FF0000"/>
        </w:rPr>
        <w:t>1</w:t>
      </w:r>
      <w:r w:rsidR="0040646A" w:rsidRPr="00597729">
        <w:rPr>
          <w:b/>
          <w:color w:val="FF0000"/>
        </w:rPr>
        <w:t>:00.</w:t>
      </w:r>
    </w:p>
    <w:p w:rsidR="0040646A" w:rsidRPr="00020372" w:rsidRDefault="0040646A" w:rsidP="00FF3713">
      <w:pPr>
        <w:pStyle w:val="Nagwek2"/>
      </w:pPr>
      <w:r w:rsidRPr="00020372">
        <w:t>O terminie złożenia oferty decyduje czas pełnego przeprocesowania transakcji na Platformie.</w:t>
      </w:r>
    </w:p>
    <w:p w:rsidR="0040646A" w:rsidRDefault="001F0140" w:rsidP="00FF3713">
      <w:pPr>
        <w:pStyle w:val="Nagwek2"/>
        <w:rPr>
          <w:b/>
          <w:color w:val="FF0000"/>
        </w:rPr>
      </w:pPr>
      <w:r w:rsidRPr="00020372">
        <w:t>19</w:t>
      </w:r>
      <w:r w:rsidR="00BC3F3B" w:rsidRPr="00020372">
        <w:t>.2</w:t>
      </w:r>
      <w:r w:rsidR="0040646A" w:rsidRPr="00020372">
        <w:t>.</w:t>
      </w:r>
      <w:r w:rsidRPr="00020372">
        <w:t xml:space="preserve"> </w:t>
      </w:r>
      <w:r w:rsidR="0040646A" w:rsidRPr="00020372">
        <w:t>Otwarcie ofert nast</w:t>
      </w:r>
      <w:r w:rsidR="00BC3F3B" w:rsidRPr="00020372">
        <w:t>ą</w:t>
      </w:r>
      <w:r w:rsidR="0040646A" w:rsidRPr="00020372">
        <w:t>p</w:t>
      </w:r>
      <w:r w:rsidR="00BC3F3B" w:rsidRPr="00020372">
        <w:t>i</w:t>
      </w:r>
      <w:r w:rsidR="0040646A" w:rsidRPr="00020372">
        <w:t xml:space="preserve"> w dniu</w:t>
      </w:r>
      <w:r w:rsidR="00BC3F3B" w:rsidRPr="0014010B">
        <w:t xml:space="preserve"> </w:t>
      </w:r>
      <w:r w:rsidR="000E2D5B" w:rsidRPr="00597729">
        <w:rPr>
          <w:b/>
          <w:color w:val="FF0000"/>
        </w:rPr>
        <w:t>21</w:t>
      </w:r>
      <w:r w:rsidR="0014010B" w:rsidRPr="00597729">
        <w:rPr>
          <w:b/>
          <w:color w:val="FF0000"/>
        </w:rPr>
        <w:t>.02.</w:t>
      </w:r>
      <w:r w:rsidR="002C694C" w:rsidRPr="00597729">
        <w:rPr>
          <w:b/>
          <w:color w:val="FF0000"/>
        </w:rPr>
        <w:t>202</w:t>
      </w:r>
      <w:r w:rsidR="00B00960" w:rsidRPr="00597729">
        <w:rPr>
          <w:b/>
          <w:color w:val="FF0000"/>
        </w:rPr>
        <w:t>3</w:t>
      </w:r>
      <w:r w:rsidR="002C694C" w:rsidRPr="00597729">
        <w:rPr>
          <w:b/>
          <w:color w:val="FF0000"/>
        </w:rPr>
        <w:t xml:space="preserve"> r.</w:t>
      </w:r>
      <w:r w:rsidR="0040646A" w:rsidRPr="00597729">
        <w:rPr>
          <w:color w:val="FF0000"/>
        </w:rPr>
        <w:t xml:space="preserve"> o godzinie </w:t>
      </w:r>
      <w:r w:rsidR="00BC3F3B" w:rsidRPr="00597729">
        <w:rPr>
          <w:b/>
          <w:color w:val="FF0000"/>
        </w:rPr>
        <w:t>1</w:t>
      </w:r>
      <w:r w:rsidR="00201A87" w:rsidRPr="00597729">
        <w:rPr>
          <w:b/>
          <w:color w:val="FF0000"/>
        </w:rPr>
        <w:t>1</w:t>
      </w:r>
      <w:r w:rsidR="0040646A" w:rsidRPr="00597729">
        <w:rPr>
          <w:b/>
          <w:color w:val="FF0000"/>
        </w:rPr>
        <w:t>:30</w:t>
      </w:r>
      <w:r w:rsidR="00BC3F3B" w:rsidRPr="00597729">
        <w:rPr>
          <w:b/>
          <w:color w:val="FF0000"/>
        </w:rPr>
        <w:t>.</w:t>
      </w:r>
    </w:p>
    <w:p w:rsidR="001B53AD" w:rsidRPr="001B53AD" w:rsidRDefault="001B53AD" w:rsidP="00FF3713">
      <w:pPr>
        <w:pStyle w:val="Nagwek2"/>
      </w:pPr>
      <w:r w:rsidRPr="001B53AD">
        <w:t>Otwarcie ofert następuje poprzez odszyfrowanie ofert na platformie zakupowej.</w:t>
      </w:r>
    </w:p>
    <w:p w:rsidR="0040646A" w:rsidRPr="00020372" w:rsidRDefault="001F0140" w:rsidP="00FF3713">
      <w:pPr>
        <w:pStyle w:val="Nagwek2"/>
      </w:pPr>
      <w:r w:rsidRPr="00020372">
        <w:lastRenderedPageBreak/>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rsidR="0040646A" w:rsidRPr="00020372" w:rsidRDefault="0040646A" w:rsidP="00FF3713">
      <w:pPr>
        <w:pStyle w:val="Nagwek2"/>
      </w:pPr>
      <w:r w:rsidRPr="00020372">
        <w:t>2)</w:t>
      </w:r>
      <w:r w:rsidR="001F0140" w:rsidRPr="00020372">
        <w:t xml:space="preserve"> </w:t>
      </w:r>
      <w:r w:rsidRPr="00020372">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25973656"/>
      <w:r w:rsidRPr="00020372">
        <w:rPr>
          <w:rFonts w:ascii="Arial" w:hAnsi="Arial" w:cs="Arial"/>
          <w:sz w:val="20"/>
          <w:szCs w:val="20"/>
          <w:highlight w:val="lightGray"/>
        </w:rPr>
        <w:t>OPIS KRYTERIÓW OCENY OFERT, WRAZ Z PODANIEM WAG KRYTERIÓW I SPOSOBU OCENY OFERT.</w:t>
      </w:r>
      <w:bookmarkEnd w:id="31"/>
    </w:p>
    <w:p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rsidR="00D46E02" w:rsidRPr="00020372" w:rsidRDefault="009F0DDA" w:rsidP="00FF3713">
      <w:pPr>
        <w:pStyle w:val="Nagwek2"/>
      </w:pPr>
      <w:r w:rsidRPr="00020372">
        <w:t>20</w:t>
      </w:r>
      <w:r w:rsidR="002A537F" w:rsidRPr="00020372">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25973657"/>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25973658"/>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FF3713">
      <w:pPr>
        <w:pStyle w:val="Nagwek2"/>
      </w:pPr>
      <w:r w:rsidRPr="00020372">
        <w:t xml:space="preserve">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w:t>
      </w:r>
      <w:r w:rsidRPr="00020372">
        <w:lastRenderedPageBreak/>
        <w:t>tego rachunku bankowego kwotą zabezpieczenia (wpływ środków pieniężnych na rachunek bankowy wskazany przez zamawiającego musi nastąpić przed podpisaniem umowy w sprawie zamówienia publicznego).</w:t>
      </w:r>
    </w:p>
    <w:p w:rsidR="005B13A2" w:rsidRPr="00020372" w:rsidRDefault="005B13A2" w:rsidP="00FF3713">
      <w:pPr>
        <w:pStyle w:val="Nagwek2"/>
      </w:pPr>
      <w:r w:rsidRPr="00020372">
        <w:t>22.6. W przypadku wniesienia wadium w pieniądzu Wykonawca może wyrazić zgodę na zaliczenie kwoty wadium na poczet zabezpieczenia.</w:t>
      </w:r>
    </w:p>
    <w:p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rsidR="005B13A2" w:rsidRPr="0002037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rsidR="008A35AD" w:rsidRPr="00020372" w:rsidRDefault="0075503F" w:rsidP="000C6F7A">
      <w:pPr>
        <w:pStyle w:val="Nagwek1"/>
        <w:rPr>
          <w:rFonts w:ascii="Arial" w:hAnsi="Arial" w:cs="Arial"/>
          <w:sz w:val="20"/>
          <w:szCs w:val="20"/>
          <w:highlight w:val="lightGray"/>
        </w:rPr>
      </w:pPr>
      <w:bookmarkStart w:id="34" w:name="_Toc125973659"/>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rsidR="0075503F" w:rsidRDefault="006E1B38" w:rsidP="00FF3713">
      <w:pPr>
        <w:pStyle w:val="Nagwek2"/>
      </w:pPr>
      <w:r w:rsidRPr="00020372">
        <w:t>23</w:t>
      </w:r>
      <w:r w:rsidR="0075503F" w:rsidRPr="00020372">
        <w:t>.4. Zmiana umowy wymaga dla swej ważności, pod rygorem nieważności, zachowania formy pisemnej.</w:t>
      </w:r>
    </w:p>
    <w:p w:rsidR="00873817" w:rsidRDefault="00873817" w:rsidP="00FF3713">
      <w:pPr>
        <w:pStyle w:val="Nagwek2"/>
      </w:pPr>
    </w:p>
    <w:p w:rsidR="00873817" w:rsidRPr="00020372" w:rsidRDefault="00873817" w:rsidP="00FF3713">
      <w:pPr>
        <w:pStyle w:val="Nagwek2"/>
      </w:pPr>
    </w:p>
    <w:p w:rsidR="002A537F" w:rsidRPr="00020372" w:rsidRDefault="00A342E1" w:rsidP="000C6F7A">
      <w:pPr>
        <w:pStyle w:val="Nagwek1"/>
        <w:rPr>
          <w:rFonts w:ascii="Arial" w:hAnsi="Arial" w:cs="Arial"/>
          <w:sz w:val="20"/>
          <w:szCs w:val="20"/>
          <w:highlight w:val="lightGray"/>
        </w:rPr>
      </w:pPr>
      <w:bookmarkStart w:id="35" w:name="_Toc125973660"/>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rsidR="00F63F2C" w:rsidRPr="00020372" w:rsidRDefault="00F63F2C" w:rsidP="00FF3713">
      <w:pPr>
        <w:pStyle w:val="Nagwek2"/>
      </w:pPr>
      <w:r w:rsidRPr="00020372">
        <w:lastRenderedPageBreak/>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t>pkt</w:t>
      </w:r>
      <w:proofErr w:type="spellEnd"/>
      <w:r w:rsidRPr="00020372">
        <w:t xml:space="preserve"> 15 Pzp. oraz Rzecznikowi Małych i Średnich Przedsiębiorców.</w:t>
      </w:r>
    </w:p>
    <w:p w:rsidR="00F63F2C" w:rsidRPr="00020372" w:rsidRDefault="00F46CB0" w:rsidP="00FF3713">
      <w:pPr>
        <w:pStyle w:val="Nagwek2"/>
      </w:pPr>
      <w:r w:rsidRPr="00020372">
        <w:t>24</w:t>
      </w:r>
      <w:r w:rsidR="00F63F2C" w:rsidRPr="00020372">
        <w:t>.3. Odwołanie przysługuje na:</w:t>
      </w:r>
    </w:p>
    <w:p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rsidR="00F63F2C" w:rsidRPr="00020372" w:rsidRDefault="00F63F2C" w:rsidP="00FF3713">
      <w:pPr>
        <w:pStyle w:val="Nagwek2"/>
      </w:pPr>
      <w:r w:rsidRPr="00020372">
        <w:t>2) zaniechanie czynności w postępowaniu o udzielenie zamówienia do której zamawiający był obowiązany na podstawie ustawy;</w:t>
      </w:r>
    </w:p>
    <w:p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rsidR="00F63F2C" w:rsidRPr="00020372" w:rsidRDefault="00F46CB0" w:rsidP="00FF3713">
      <w:pPr>
        <w:pStyle w:val="Nagwek2"/>
      </w:pPr>
      <w:r w:rsidRPr="00020372">
        <w:t>24</w:t>
      </w:r>
      <w:r w:rsidR="00F63F2C" w:rsidRPr="00020372">
        <w:t>.6. Odwołanie wnosi się w terminie:</w:t>
      </w:r>
    </w:p>
    <w:p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rsidR="00F63F2C" w:rsidRPr="00020372" w:rsidRDefault="00F63F2C" w:rsidP="00FF3713">
      <w:pPr>
        <w:pStyle w:val="Nagwek2"/>
      </w:pPr>
      <w:r w:rsidRPr="00020372">
        <w:t xml:space="preserve">2) 10 dni od dnia przekazania informacji o czynności zamawiającego stanowiącej podstawę jego wniesienia, jeżeli informacja została przekazana w sposób inny niż określony w </w:t>
      </w:r>
      <w:proofErr w:type="spellStart"/>
      <w:r w:rsidRPr="00020372">
        <w:t>pkt</w:t>
      </w:r>
      <w:proofErr w:type="spellEnd"/>
      <w:r w:rsidRPr="00020372">
        <w:t xml:space="preserve"> 1).</w:t>
      </w:r>
    </w:p>
    <w:p w:rsidR="00F63F2C" w:rsidRPr="00020372" w:rsidRDefault="00F46CB0" w:rsidP="00FF3713">
      <w:pPr>
        <w:pStyle w:val="Nagwek2"/>
      </w:pPr>
      <w:r w:rsidRPr="00020372">
        <w:t>24</w:t>
      </w:r>
      <w:r w:rsidR="00F63F2C" w:rsidRPr="00020372">
        <w:t xml:space="preserve">.7. Odwołanie w przypadkach innych niż określone w </w:t>
      </w:r>
      <w:proofErr w:type="spellStart"/>
      <w:r w:rsidR="00F63F2C" w:rsidRPr="00020372">
        <w:t>pkt</w:t>
      </w:r>
      <w:proofErr w:type="spellEnd"/>
      <w:r w:rsidR="00F63F2C" w:rsidRPr="00020372">
        <w:t xml:space="preserve">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5973661"/>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FF3713">
      <w:pPr>
        <w:pStyle w:val="Nagwek2"/>
      </w:pPr>
      <w:r w:rsidRPr="00020372">
        <w:t>- Załącznik nr 1 – Formularz ofertowy</w:t>
      </w:r>
    </w:p>
    <w:p w:rsidR="00927D88" w:rsidRPr="00020372" w:rsidRDefault="00927D88" w:rsidP="00FF3713">
      <w:pPr>
        <w:pStyle w:val="Nagwek2"/>
      </w:pPr>
      <w:r w:rsidRPr="00020372">
        <w:t xml:space="preserve">- Załącznik nr 2 – Oświadczenie o braku podstaw do wykluczenia i o spełnianiu warunków udziału </w:t>
      </w:r>
      <w:r w:rsidR="009B61B3" w:rsidRPr="00020372">
        <w:br/>
      </w:r>
      <w:r w:rsidRPr="00020372">
        <w:t>w postępowaniu</w:t>
      </w:r>
    </w:p>
    <w:p w:rsidR="00927D88" w:rsidRPr="00020372" w:rsidRDefault="00927D88" w:rsidP="00FF3713">
      <w:pPr>
        <w:pStyle w:val="Nagwek2"/>
      </w:pPr>
      <w:r w:rsidRPr="00020372">
        <w:t>- Załącznik nr 3 – Zobowiązanie innego podmiotu do udostępniania niezbędnych zasobów Wykonawcy</w:t>
      </w:r>
    </w:p>
    <w:p w:rsidR="00927D88" w:rsidRPr="00020372" w:rsidRDefault="00927D88" w:rsidP="00FF3713">
      <w:pPr>
        <w:pStyle w:val="Nagwek2"/>
      </w:pPr>
      <w:r w:rsidRPr="00020372">
        <w:t>- Załącznik nr 4 – Oświadczenie dotyczące przynależności lub braku przynależności do tej samej grupy kapitałowej</w:t>
      </w:r>
    </w:p>
    <w:p w:rsidR="00927D88" w:rsidRPr="00020372" w:rsidRDefault="00927D88" w:rsidP="00FF3713">
      <w:pPr>
        <w:pStyle w:val="Nagwek2"/>
      </w:pPr>
      <w:r w:rsidRPr="00020372">
        <w:t>- Załącznik nr 5 – Wykaz robót budowlanych</w:t>
      </w:r>
    </w:p>
    <w:p w:rsidR="001E1CDB" w:rsidRPr="00020372" w:rsidRDefault="001E1CDB" w:rsidP="00FF3713">
      <w:pPr>
        <w:pStyle w:val="Nagwek2"/>
      </w:pPr>
      <w:r w:rsidRPr="00020372">
        <w:t>- Załącznik nr 6 – Wykaz osób</w:t>
      </w:r>
    </w:p>
    <w:p w:rsidR="00927D88" w:rsidRPr="00020372" w:rsidRDefault="00927D88" w:rsidP="00FF3713">
      <w:pPr>
        <w:pStyle w:val="Nagwek2"/>
      </w:pPr>
      <w:r w:rsidRPr="00020372">
        <w:t xml:space="preserve">- Załącznik nr </w:t>
      </w:r>
      <w:r w:rsidR="001E1CDB" w:rsidRPr="00020372">
        <w:t>7</w:t>
      </w:r>
      <w:r w:rsidRPr="00020372">
        <w:t xml:space="preserve"> – </w:t>
      </w:r>
      <w:r w:rsidR="00E355AE" w:rsidRPr="00020372">
        <w:t>W</w:t>
      </w:r>
      <w:r w:rsidRPr="00020372">
        <w:t>zór umowy</w:t>
      </w:r>
    </w:p>
    <w:p w:rsidR="00927D88" w:rsidRPr="00020372" w:rsidRDefault="00927D88" w:rsidP="00FF3713">
      <w:pPr>
        <w:pStyle w:val="Nagwek2"/>
      </w:pPr>
      <w:r w:rsidRPr="00020372">
        <w:t xml:space="preserve">- Załącznik nr </w:t>
      </w:r>
      <w:r w:rsidR="001E1CDB" w:rsidRPr="00020372">
        <w:t>8</w:t>
      </w:r>
      <w:r w:rsidRPr="00020372">
        <w:t xml:space="preserve"> – Dokumentacja </w:t>
      </w:r>
      <w:r w:rsidR="009B61B3" w:rsidRPr="00020372">
        <w:t xml:space="preserve">(przedmiar robót, </w:t>
      </w:r>
      <w:proofErr w:type="spellStart"/>
      <w:r w:rsidR="009B61B3" w:rsidRPr="00020372">
        <w:t>STWiOR</w:t>
      </w:r>
      <w:proofErr w:type="spellEnd"/>
      <w:r w:rsidR="009B61B3" w:rsidRPr="00020372">
        <w:t>)</w:t>
      </w:r>
      <w:bookmarkEnd w:id="18"/>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9C5B5D" w15:done="0"/>
  <w15:commentEx w15:paraId="6A69D673" w15:done="0"/>
  <w15:commentEx w15:paraId="7954E78B" w15:done="0"/>
  <w15:commentEx w15:paraId="4943C3AB" w15:done="0"/>
  <w15:commentEx w15:paraId="3AAE239F" w15:paraIdParent="4943C3AB" w15:done="0"/>
  <w15:commentEx w15:paraId="45996CD8" w15:done="0"/>
  <w15:commentEx w15:paraId="29F16B65" w15:done="0"/>
  <w15:commentEx w15:paraId="2DB1BBC3" w15:done="0"/>
  <w15:commentEx w15:paraId="5365F103" w15:done="0"/>
  <w15:commentEx w15:paraId="08DBEF4A" w15:paraIdParent="5365F103" w15:done="0"/>
  <w15:commentEx w15:paraId="78778C46" w15:done="0"/>
  <w15:commentEx w15:paraId="1D4D4195" w15:done="0"/>
  <w15:commentEx w15:paraId="37D9B7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C5B5D" w16cid:durableId="277E369B"/>
  <w16cid:commentId w16cid:paraId="6A69D673" w16cid:durableId="277E369C"/>
  <w16cid:commentId w16cid:paraId="7954E78B" w16cid:durableId="277E369D"/>
  <w16cid:commentId w16cid:paraId="4943C3AB" w16cid:durableId="277E369E"/>
  <w16cid:commentId w16cid:paraId="3AAE239F" w16cid:durableId="277E38BC"/>
  <w16cid:commentId w16cid:paraId="45996CD8" w16cid:durableId="277E369F"/>
  <w16cid:commentId w16cid:paraId="29F16B65" w16cid:durableId="277E36A0"/>
  <w16cid:commentId w16cid:paraId="2DB1BBC3" w16cid:durableId="277E36A1"/>
  <w16cid:commentId w16cid:paraId="5365F103" w16cid:durableId="277E36A2"/>
  <w16cid:commentId w16cid:paraId="08DBEF4A" w16cid:durableId="277E3863"/>
  <w16cid:commentId w16cid:paraId="78778C46" w16cid:durableId="277E36A3"/>
  <w16cid:commentId w16cid:paraId="1D4D4195" w16cid:durableId="277E36A4"/>
  <w16cid:commentId w16cid:paraId="37D9B730" w16cid:durableId="277E36A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B13" w:rsidRDefault="00552B13">
      <w:r>
        <w:separator/>
      </w:r>
    </w:p>
  </w:endnote>
  <w:endnote w:type="continuationSeparator" w:id="0">
    <w:p w:rsidR="00552B13" w:rsidRDefault="00552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13" w:rsidRDefault="00FB731F">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rsidR="00552B13" w:rsidRDefault="00552B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B13" w:rsidRDefault="00552B13">
      <w:r>
        <w:separator/>
      </w:r>
    </w:p>
  </w:footnote>
  <w:footnote w:type="continuationSeparator" w:id="0">
    <w:p w:rsidR="00552B13" w:rsidRDefault="00552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13" w:rsidRDefault="00552B13" w:rsidP="00701C41">
    <w:pPr>
      <w:pStyle w:val="Nagwek"/>
      <w:jc w:val="right"/>
    </w:pPr>
    <w:r>
      <w:t xml:space="preserve">                    </w:t>
    </w:r>
    <w:r>
      <w:rPr>
        <w:rFonts w:ascii="Verdana" w:hAnsi="Verdana"/>
        <w:noProof/>
        <w:sz w:val="16"/>
        <w:szCs w:val="16"/>
      </w:rPr>
      <w:drawing>
        <wp:inline distT="0" distB="0" distL="0" distR="0">
          <wp:extent cx="1133475" cy="40005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133475" cy="400050"/>
                  </a:xfrm>
                  <a:prstGeom prst="rect">
                    <a:avLst/>
                  </a:prstGeom>
                  <a:noFill/>
                  <a:ln w="9525">
                    <a:noFill/>
                    <a:miter lim="800000"/>
                    <a:headEnd/>
                    <a:tailEnd/>
                  </a:ln>
                </pic:spPr>
              </pic:pic>
            </a:graphicData>
          </a:graphic>
        </wp:inline>
      </w:drawing>
    </w:r>
    <w:r>
      <w:t xml:space="preserve">        </w:t>
    </w:r>
    <w:r>
      <w:rPr>
        <w:rFonts w:ascii="Verdana" w:hAnsi="Verdana"/>
        <w:noProof/>
        <w:sz w:val="16"/>
        <w:szCs w:val="16"/>
      </w:rPr>
      <w:drawing>
        <wp:inline distT="0" distB="0" distL="0" distR="0">
          <wp:extent cx="594995" cy="431165"/>
          <wp:effectExtent l="19050" t="0" r="0" b="0"/>
          <wp:docPr id="14" name="Obraz 1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2"/>
                  <a:srcRect/>
                  <a:stretch>
                    <a:fillRect/>
                  </a:stretch>
                </pic:blipFill>
                <pic:spPr bwMode="auto">
                  <a:xfrm>
                    <a:off x="0" y="0"/>
                    <a:ext cx="594995" cy="431165"/>
                  </a:xfrm>
                  <a:prstGeom prst="rect">
                    <a:avLst/>
                  </a:prstGeom>
                  <a:noFill/>
                  <a:ln w="9525">
                    <a:noFill/>
                    <a:miter lim="800000"/>
                    <a:headEnd/>
                    <a:tailEnd/>
                  </a:ln>
                </pic:spPr>
              </pic:pic>
            </a:graphicData>
          </a:graphic>
        </wp:inline>
      </w:drawing>
    </w:r>
  </w:p>
  <w:p w:rsidR="00552B13" w:rsidRDefault="00552B1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5E811D6"/>
    <w:multiLevelType w:val="singleLevel"/>
    <w:tmpl w:val="F37A2A34"/>
    <w:lvl w:ilvl="0">
      <w:start w:val="1"/>
      <w:numFmt w:val="decimal"/>
      <w:lvlText w:val="%1)"/>
      <w:lvlJc w:val="left"/>
      <w:pPr>
        <w:tabs>
          <w:tab w:val="num" w:pos="360"/>
        </w:tabs>
        <w:ind w:left="360" w:hanging="360"/>
      </w:pPr>
    </w:lvl>
  </w:abstractNum>
  <w:abstractNum w:abstractNumId="15">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2">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5"/>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2"/>
    <w:lvlOverride w:ilvl="0">
      <w:startOverride w:val="4"/>
    </w:lvlOverride>
  </w:num>
  <w:num w:numId="25">
    <w:abstractNumId w:val="16"/>
  </w:num>
  <w:num w:numId="26">
    <w:abstractNumId w:val="19"/>
  </w:num>
  <w:num w:numId="27">
    <w:abstractNumId w:val="21"/>
  </w:num>
  <w:num w:numId="28">
    <w:abstractNumId w:val="12"/>
  </w:num>
  <w:num w:numId="29">
    <w:abstractNumId w:val="14"/>
    <w:lvlOverride w:ilvl="0">
      <w:startOverride w:val="1"/>
    </w:lvlOverride>
  </w:num>
  <w:num w:numId="30">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ca">
    <w15:presenceInfo w15:providerId="None" w15:userId="rad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3D0C"/>
    <w:rsid w:val="00133E4C"/>
    <w:rsid w:val="0013434C"/>
    <w:rsid w:val="00135DE6"/>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721"/>
    <w:rsid w:val="00183E62"/>
    <w:rsid w:val="0018407C"/>
    <w:rsid w:val="00184E39"/>
    <w:rsid w:val="001861FB"/>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6BD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298"/>
    <w:rsid w:val="002B3DF8"/>
    <w:rsid w:val="002B4D20"/>
    <w:rsid w:val="002B5A32"/>
    <w:rsid w:val="002B6458"/>
    <w:rsid w:val="002B7A63"/>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2084"/>
    <w:rsid w:val="00472818"/>
    <w:rsid w:val="00472A03"/>
    <w:rsid w:val="00472F68"/>
    <w:rsid w:val="004737EA"/>
    <w:rsid w:val="0047459E"/>
    <w:rsid w:val="0047508E"/>
    <w:rsid w:val="00475D05"/>
    <w:rsid w:val="00477311"/>
    <w:rsid w:val="00477DFD"/>
    <w:rsid w:val="004805A4"/>
    <w:rsid w:val="004805AD"/>
    <w:rsid w:val="0048099A"/>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E5"/>
    <w:rsid w:val="004D10CC"/>
    <w:rsid w:val="004D14B4"/>
    <w:rsid w:val="004D1CEA"/>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37"/>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1F5F"/>
    <w:rsid w:val="005A39A4"/>
    <w:rsid w:val="005A3C2A"/>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95C"/>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0B8C"/>
    <w:rsid w:val="008B10F3"/>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800"/>
    <w:rsid w:val="00D4495C"/>
    <w:rsid w:val="00D449D1"/>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ACC"/>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55DF"/>
    <w:rsid w:val="00FC6327"/>
    <w:rsid w:val="00FC7B1C"/>
    <w:rsid w:val="00FC7FB4"/>
    <w:rsid w:val="00FD0320"/>
    <w:rsid w:val="00FD0B5A"/>
    <w:rsid w:val="00FD13F3"/>
    <w:rsid w:val="00FD1447"/>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51162A"/>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51162A"/>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20</Pages>
  <Words>10062</Words>
  <Characters>60376</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7</cp:revision>
  <cp:lastPrinted>2023-01-30T12:22:00Z</cp:lastPrinted>
  <dcterms:created xsi:type="dcterms:W3CDTF">2023-02-14T10:47:00Z</dcterms:created>
  <dcterms:modified xsi:type="dcterms:W3CDTF">2023-02-14T14:02:00Z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