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84910" w14:textId="77777777" w:rsidR="00526403" w:rsidRPr="00AE308B" w:rsidRDefault="00526403" w:rsidP="00AE308B">
      <w:pPr>
        <w:tabs>
          <w:tab w:val="left" w:pos="4355"/>
        </w:tabs>
        <w:spacing w:line="360" w:lineRule="auto"/>
        <w:jc w:val="right"/>
        <w:rPr>
          <w:rFonts w:ascii="Bahnschrift" w:hAnsi="Bahnschrift" w:cs="72 Black"/>
          <w:color w:val="000000"/>
          <w:sz w:val="20"/>
        </w:rPr>
      </w:pPr>
      <w:r w:rsidRPr="00AE308B">
        <w:rPr>
          <w:rFonts w:ascii="Bahnschrift" w:hAnsi="Bahnschrift" w:cs="72 Black"/>
          <w:color w:val="000000"/>
          <w:sz w:val="20"/>
        </w:rPr>
        <w:t xml:space="preserve">                                     </w:t>
      </w:r>
    </w:p>
    <w:p w14:paraId="7037DD73" w14:textId="63C8AB5C" w:rsidR="00526403" w:rsidRPr="00AE308B" w:rsidRDefault="00526403" w:rsidP="00AE308B">
      <w:pPr>
        <w:spacing w:line="360" w:lineRule="auto"/>
        <w:ind w:left="5670" w:hanging="5670"/>
        <w:jc w:val="right"/>
        <w:rPr>
          <w:rFonts w:ascii="Bahnschrift" w:hAnsi="Bahnschrift" w:cs="Arial"/>
          <w:sz w:val="20"/>
        </w:rPr>
      </w:pPr>
      <w:r w:rsidRPr="00AE308B">
        <w:rPr>
          <w:rFonts w:ascii="Bahnschrift" w:hAnsi="Bahnschrift" w:cs="Arial"/>
          <w:sz w:val="20"/>
        </w:rPr>
        <w:t xml:space="preserve">Załącznik nr </w:t>
      </w:r>
      <w:r w:rsidR="00AE308B">
        <w:rPr>
          <w:rFonts w:ascii="Bahnschrift" w:hAnsi="Bahnschrift" w:cs="Arial"/>
          <w:sz w:val="20"/>
        </w:rPr>
        <w:t>2 do SWZ DZP.382.1.74.2024</w:t>
      </w:r>
      <w:r w:rsidRPr="00AE308B">
        <w:rPr>
          <w:rFonts w:ascii="Bahnschrift" w:hAnsi="Bahnschrift" w:cs="Arial"/>
          <w:sz w:val="20"/>
        </w:rPr>
        <w:t xml:space="preserve"> </w:t>
      </w:r>
    </w:p>
    <w:p w14:paraId="2A378189" w14:textId="77777777" w:rsidR="00526403" w:rsidRPr="00AE308B" w:rsidRDefault="00526403" w:rsidP="00AE308B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color w:val="000000"/>
          <w:sz w:val="20"/>
        </w:rPr>
      </w:pPr>
    </w:p>
    <w:p w14:paraId="2E7128E1" w14:textId="1FEAA4A6" w:rsidR="00526403" w:rsidRPr="00AE308B" w:rsidRDefault="00526403" w:rsidP="00AE308B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b/>
          <w:color w:val="000000"/>
          <w:sz w:val="20"/>
        </w:rPr>
      </w:pPr>
      <w:r w:rsidRPr="00AE308B">
        <w:rPr>
          <w:rFonts w:ascii="Bahnschrift" w:hAnsi="Bahnschrift" w:cs="72 Black"/>
          <w:b/>
          <w:color w:val="000000"/>
          <w:sz w:val="20"/>
        </w:rPr>
        <w:t>OPIS PRZEDMIOTU ZAMÓWIENIA</w:t>
      </w:r>
      <w:r w:rsidR="00EB02A7">
        <w:rPr>
          <w:rFonts w:ascii="Bahnschrift" w:hAnsi="Bahnschrift" w:cs="72 Black"/>
          <w:b/>
          <w:color w:val="000000"/>
          <w:sz w:val="20"/>
        </w:rPr>
        <w:t>/OPIS OFEROWANEGO PRZEDMIOTU ZAMÓWIENIA</w:t>
      </w:r>
    </w:p>
    <w:p w14:paraId="463A1DD9" w14:textId="77777777" w:rsidR="00526403" w:rsidRPr="00AE308B" w:rsidRDefault="00526403" w:rsidP="00AE308B">
      <w:pPr>
        <w:spacing w:line="360" w:lineRule="auto"/>
        <w:rPr>
          <w:rFonts w:ascii="Bahnschrift" w:hAnsi="Bahnschrift" w:cstheme="minorHAnsi"/>
          <w:b/>
          <w:sz w:val="20"/>
        </w:rPr>
      </w:pPr>
    </w:p>
    <w:p w14:paraId="3E97ED11" w14:textId="77777777" w:rsidR="00526403" w:rsidRPr="00AE308B" w:rsidRDefault="00526403" w:rsidP="00AE308B">
      <w:pPr>
        <w:spacing w:line="360" w:lineRule="auto"/>
        <w:rPr>
          <w:rFonts w:ascii="Bahnschrift" w:hAnsi="Bahnschrift" w:cs="Arial"/>
          <w:b/>
          <w:sz w:val="20"/>
        </w:rPr>
      </w:pPr>
      <w:r w:rsidRPr="00AE308B">
        <w:rPr>
          <w:rFonts w:ascii="Bahnschrift" w:hAnsi="Bahnschrift" w:cstheme="minorHAnsi"/>
          <w:b/>
          <w:bCs/>
          <w:color w:val="333333"/>
          <w:spacing w:val="4"/>
          <w:sz w:val="20"/>
          <w:shd w:val="clear" w:color="auto" w:fill="FFFFFF"/>
        </w:rPr>
        <w:t>Przełącznik sieciowy- 2 szt</w:t>
      </w:r>
      <w:r w:rsidRPr="00AE308B">
        <w:rPr>
          <w:rFonts w:ascii="Bahnschrift" w:hAnsi="Bahnschrift" w:cstheme="minorHAnsi"/>
          <w:b/>
          <w:bCs/>
          <w:color w:val="000000"/>
          <w:sz w:val="20"/>
        </w:rPr>
        <w:t>.</w:t>
      </w:r>
      <w:r w:rsidRPr="00AE308B">
        <w:rPr>
          <w:rFonts w:ascii="Bahnschrift" w:hAnsi="Bahnschrift" w:cs="72 Black"/>
          <w:b/>
          <w:bCs/>
          <w:color w:val="000000"/>
          <w:sz w:val="20"/>
        </w:rPr>
        <w:t xml:space="preserve"> </w:t>
      </w:r>
      <w:r w:rsidRPr="00AE308B">
        <w:rPr>
          <w:rFonts w:ascii="Bahnschrift" w:hAnsi="Bahnschrift" w:cs="72 Black"/>
          <w:b/>
          <w:color w:val="000000"/>
          <w:sz w:val="20"/>
        </w:rPr>
        <w:t xml:space="preserve">(index 177600)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01"/>
        <w:gridCol w:w="4161"/>
      </w:tblGrid>
      <w:tr w:rsidR="00526403" w:rsidRPr="00AE308B" w14:paraId="2C5DB08F" w14:textId="77777777" w:rsidTr="00526403">
        <w:trPr>
          <w:trHeight w:val="426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56E79D8" w14:textId="77777777" w:rsidR="00526403" w:rsidRPr="00AE308B" w:rsidRDefault="00526403" w:rsidP="00AE308B">
            <w:pPr>
              <w:spacing w:line="360" w:lineRule="auto"/>
              <w:jc w:val="center"/>
              <w:rPr>
                <w:rFonts w:ascii="Bahnschrift" w:hAnsi="Bahnschrift"/>
                <w:sz w:val="20"/>
                <w:lang w:eastAsia="en-US"/>
              </w:rPr>
            </w:pPr>
            <w:r w:rsidRPr="00AE308B">
              <w:rPr>
                <w:rFonts w:ascii="Bahnschrift" w:hAnsi="Bahnschrift"/>
                <w:b/>
                <w:sz w:val="20"/>
                <w:lang w:eastAsia="en-US"/>
              </w:rPr>
              <w:t>MINIMALNE PARAMETRY WYMAGANE PRZEZ ZAMAWIAJĄCEGO KTÓRE WINIEN POSIADAĆ OFEROWANY PRZEDMIOT ZAMÓWIENIA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A45370C" w14:textId="77777777" w:rsidR="00526403" w:rsidRPr="00AE308B" w:rsidRDefault="00526403" w:rsidP="00AE308B">
            <w:pPr>
              <w:spacing w:line="360" w:lineRule="auto"/>
              <w:jc w:val="center"/>
              <w:rPr>
                <w:rFonts w:ascii="Bahnschrift" w:hAnsi="Bahnschrift"/>
                <w:sz w:val="20"/>
                <w:lang w:eastAsia="en-US"/>
              </w:rPr>
            </w:pPr>
            <w:r w:rsidRPr="00AE308B">
              <w:rPr>
                <w:rFonts w:ascii="Bahnschrift" w:hAnsi="Bahnschrift"/>
                <w:b/>
                <w:sz w:val="20"/>
                <w:lang w:eastAsia="en-US"/>
              </w:rPr>
              <w:t>PARAMETRY TECHNICZNE OFEROWANEGO PRZEDMIOTU ZAMÓWIENIA</w:t>
            </w:r>
          </w:p>
        </w:tc>
      </w:tr>
      <w:tr w:rsidR="00526403" w:rsidRPr="00AE308B" w14:paraId="329F54D5" w14:textId="77777777" w:rsidTr="00EB02A7">
        <w:trPr>
          <w:trHeight w:val="4677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6E3B" w14:textId="77777777" w:rsidR="00526403" w:rsidRPr="00AE308B" w:rsidRDefault="00526403" w:rsidP="00AE308B">
            <w:pPr>
              <w:spacing w:line="360" w:lineRule="auto"/>
              <w:jc w:val="both"/>
              <w:rPr>
                <w:rFonts w:ascii="Bahnschrift" w:hAnsi="Bahnschrift" w:cstheme="minorHAnsi"/>
                <w:sz w:val="20"/>
              </w:rPr>
            </w:pPr>
          </w:p>
          <w:p w14:paraId="142E9525" w14:textId="77777777" w:rsidR="00526403" w:rsidRPr="00AE308B" w:rsidRDefault="00526403" w:rsidP="00AE308B">
            <w:pPr>
              <w:pStyle w:val="Nagwek1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line="360" w:lineRule="auto"/>
              <w:ind w:left="604" w:hanging="567"/>
              <w:jc w:val="both"/>
              <w:outlineLvl w:val="0"/>
              <w:rPr>
                <w:rFonts w:ascii="Bahnschrift" w:hAnsi="Bahnschrift" w:cstheme="minorHAnsi"/>
                <w:sz w:val="20"/>
              </w:rPr>
            </w:pPr>
            <w:bookmarkStart w:id="0" w:name="_GoBack"/>
            <w:bookmarkEnd w:id="0"/>
            <w:r w:rsidRPr="00AE308B">
              <w:rPr>
                <w:rFonts w:ascii="Bahnschrift" w:hAnsi="Bahnschrift" w:cstheme="minorHAnsi"/>
                <w:b/>
                <w:sz w:val="20"/>
              </w:rPr>
              <w:t>Parametry fizyczne przełącznika</w:t>
            </w:r>
          </w:p>
          <w:p w14:paraId="5A1C5966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Wymiary urządzenia muszą pozwalać na montaż w szafie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rack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19", obudowa nie może być wyższa niż 1U.</w:t>
            </w:r>
          </w:p>
          <w:p w14:paraId="0C9E774C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Zasilanie AC 230V.</w:t>
            </w:r>
          </w:p>
          <w:p w14:paraId="36535EE6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Zestaw 2 kabli zasilających pozwalają podłączyć urządzenia do UPS.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Powercord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C14-C15 o min długości 1,8 m.</w:t>
            </w:r>
          </w:p>
          <w:p w14:paraId="376C718D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Wymagany redundantny zasilacz z możliwością wymiany w czasie pracy.</w:t>
            </w:r>
          </w:p>
          <w:p w14:paraId="564CF973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Maksymalny pobór mocy:</w:t>
            </w:r>
            <w:r w:rsidRPr="00AE308B">
              <w:rPr>
                <w:rFonts w:ascii="Bahnschrift" w:hAnsi="Bahnschrift" w:cstheme="minorHAnsi"/>
                <w:color w:val="C9211E"/>
                <w:sz w:val="20"/>
              </w:rPr>
              <w:t xml:space="preserve"> </w:t>
            </w:r>
            <w:r w:rsidRPr="00AE308B">
              <w:rPr>
                <w:rFonts w:ascii="Bahnschrift" w:hAnsi="Bahnschrift" w:cstheme="minorHAnsi"/>
                <w:sz w:val="20"/>
              </w:rPr>
              <w:t>190 W.</w:t>
            </w:r>
          </w:p>
          <w:p w14:paraId="620A98B3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Minimalny zakres temperatury pracy: 0-40</w:t>
            </w:r>
            <w:r w:rsidRPr="00AE308B">
              <w:rPr>
                <w:rFonts w:ascii="Arial" w:hAnsi="Arial" w:cs="Arial"/>
                <w:sz w:val="20"/>
              </w:rPr>
              <w:t>ᵒ</w:t>
            </w:r>
            <w:r w:rsidRPr="00AE308B">
              <w:rPr>
                <w:rFonts w:ascii="Bahnschrift" w:hAnsi="Bahnschrift" w:cstheme="minorHAnsi"/>
                <w:sz w:val="20"/>
              </w:rPr>
              <w:t>C.</w:t>
            </w:r>
          </w:p>
          <w:p w14:paraId="4B9108C2" w14:textId="77777777" w:rsidR="00526403" w:rsidRPr="00AE308B" w:rsidRDefault="00526403" w:rsidP="00AE308B">
            <w:pPr>
              <w:pStyle w:val="Akapitzlist"/>
              <w:spacing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</w:p>
          <w:p w14:paraId="1609CC60" w14:textId="77777777" w:rsidR="00526403" w:rsidRPr="00AE308B" w:rsidRDefault="00526403" w:rsidP="00AE308B">
            <w:pPr>
              <w:pStyle w:val="Akapitzlist"/>
              <w:numPr>
                <w:ilvl w:val="0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b/>
                <w:color w:val="000000"/>
                <w:sz w:val="20"/>
              </w:rPr>
              <w:t>Interfejsy sieciowe - wymagania minimalne</w:t>
            </w:r>
          </w:p>
          <w:p w14:paraId="10F246CF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Wymaganym jest aby przełącznik dysponował niezależnymi interfejsami sieciowymi (nie dopuszcza się portów typu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combo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>) w ilości:</w:t>
            </w:r>
          </w:p>
          <w:p w14:paraId="39933510" w14:textId="77777777" w:rsidR="00526403" w:rsidRPr="00AE308B" w:rsidRDefault="00526403" w:rsidP="00AE308B">
            <w:pPr>
              <w:pStyle w:val="Akapitzlist"/>
              <w:numPr>
                <w:ilvl w:val="2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  <w:lang w:val="en-US"/>
              </w:rPr>
              <w:t>48 porty  1GE/10GE/25GE SFP28.</w:t>
            </w:r>
          </w:p>
          <w:p w14:paraId="5F6773B0" w14:textId="77777777" w:rsidR="00526403" w:rsidRPr="00AE308B" w:rsidRDefault="00526403" w:rsidP="00AE308B">
            <w:pPr>
              <w:pStyle w:val="Akapitzlist"/>
              <w:numPr>
                <w:ilvl w:val="2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  <w:lang w:val="en-US"/>
              </w:rPr>
              <w:t>8 porty 40GE / 100GE QSFP28.</w:t>
            </w:r>
          </w:p>
          <w:p w14:paraId="1ECE0EB7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Przełącznik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musi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obsługiwać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konfigurację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w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której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2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interfejsy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QSFP28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są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skonfigurowane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jako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40GE a 6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interfejsów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jako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100GE.</w:t>
            </w:r>
          </w:p>
          <w:p w14:paraId="62174BE9" w14:textId="77777777" w:rsidR="00526403" w:rsidRPr="00AE308B" w:rsidRDefault="00526403" w:rsidP="00AE308B">
            <w:pPr>
              <w:pStyle w:val="Nagwek1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line="360" w:lineRule="auto"/>
              <w:ind w:left="604" w:hanging="567"/>
              <w:jc w:val="both"/>
              <w:outlineLvl w:val="0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b/>
                <w:sz w:val="20"/>
              </w:rPr>
              <w:t>Zarządzanie</w:t>
            </w:r>
          </w:p>
          <w:p w14:paraId="32C803C9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Dedykowany interfejs Ethernet RJ-45 do zarządzania.</w:t>
            </w:r>
          </w:p>
          <w:p w14:paraId="3E45FD34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Wbudowany port konsoli szeregowej do pełnego zarządzania.</w:t>
            </w:r>
          </w:p>
          <w:p w14:paraId="1E0F7CCC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lastRenderedPageBreak/>
              <w:t>Zarządzanie za pomocą linii poleceń (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command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line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>, w tym poprzez SSH) oraz poprzez graficzny interfejs z wykorzystaniem przeglądarki WWW (HTTPS).</w:t>
            </w:r>
          </w:p>
          <w:p w14:paraId="53336DD5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Wsparcie dla SNMP w wersjach 1-3.</w:t>
            </w:r>
            <w:r w:rsidRPr="00AE308B">
              <w:rPr>
                <w:rFonts w:ascii="Bahnschrift" w:hAnsi="Bahnschrift" w:cstheme="minorHAnsi"/>
                <w:sz w:val="20"/>
              </w:rPr>
              <w:tab/>
            </w:r>
          </w:p>
          <w:p w14:paraId="77096868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Funkcja zarządzania poprzez dedykowany kontroler przełączników lub system zarządzania, pozwalający na  automatyczne wykrywanie, centralne konfigurowanie oraz zarządzanie przełącznikami.</w:t>
            </w:r>
          </w:p>
          <w:p w14:paraId="3EF74A6D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Funkcja aktualizacji oprogramowania przez TFTP/FTP oraz za pomocą GUI.</w:t>
            </w:r>
          </w:p>
          <w:p w14:paraId="2FEF2020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Konfiguracja w formie pliku tekstowego umożliwiającego edycję konfiguracji offline.</w:t>
            </w:r>
          </w:p>
          <w:p w14:paraId="03B02E04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Funkcja backupu konfiguracji z poziomu GUI jak również z CLI (TFTP/FTP).</w:t>
            </w:r>
          </w:p>
          <w:p w14:paraId="18E20062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Funkcja definiowania administratorów lokalnie oraz wykorzystanie w tym celu serwerów Radius i TACACS+.</w:t>
            </w:r>
          </w:p>
          <w:p w14:paraId="31357A88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Funkcja definiowania ról administratorów z możliwością określenia trybu dostępu (brak, tylko odczyt, odczyt oraz modyfikacja) do wybranych części konfiguracji.</w:t>
            </w:r>
          </w:p>
          <w:p w14:paraId="6BAA7F75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Automatycznie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wykonywane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rewizje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konfiguracji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>.</w:t>
            </w:r>
          </w:p>
          <w:p w14:paraId="06E8935C" w14:textId="77777777" w:rsidR="00526403" w:rsidRPr="00AE308B" w:rsidRDefault="00526403" w:rsidP="00AE308B">
            <w:pPr>
              <w:pStyle w:val="Akapitzlist"/>
              <w:spacing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  <w:lang w:val="en-US"/>
              </w:rPr>
            </w:pPr>
          </w:p>
          <w:p w14:paraId="2369DA9C" w14:textId="77777777" w:rsidR="00526403" w:rsidRPr="00AE308B" w:rsidRDefault="00526403" w:rsidP="00AE308B">
            <w:pPr>
              <w:pStyle w:val="Akapitzlist"/>
              <w:numPr>
                <w:ilvl w:val="0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b/>
                <w:color w:val="000000"/>
                <w:sz w:val="20"/>
                <w:lang w:val="en-US"/>
              </w:rPr>
              <w:t>Parametry</w:t>
            </w:r>
            <w:proofErr w:type="spellEnd"/>
            <w:r w:rsidRPr="00AE308B">
              <w:rPr>
                <w:rFonts w:ascii="Bahnschrift" w:hAnsi="Bahnschrift" w:cstheme="minorHAnsi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b/>
                <w:color w:val="000000"/>
                <w:sz w:val="20"/>
                <w:lang w:val="en-US"/>
              </w:rPr>
              <w:t>wydajnościowe</w:t>
            </w:r>
            <w:proofErr w:type="spellEnd"/>
          </w:p>
          <w:p w14:paraId="2EF45044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Przepustowość urządzenia - min. 4000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Gbps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(pełna prędkość, tzw.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wire-speed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na wszystkich portach) </w:t>
            </w:r>
          </w:p>
          <w:p w14:paraId="6DB80004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Tablica adresów MAC o pojemności co najmniej 96 k wpisów.</w:t>
            </w:r>
          </w:p>
          <w:p w14:paraId="46E585F3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Opóźnienie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wprowadzane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przez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przełącznik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-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poniżej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2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mikrosekund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.</w:t>
            </w:r>
          </w:p>
          <w:p w14:paraId="6E5095B7" w14:textId="77777777" w:rsidR="00526403" w:rsidRPr="00AE308B" w:rsidRDefault="00526403" w:rsidP="00AE308B">
            <w:pPr>
              <w:pStyle w:val="Nagwek1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line="360" w:lineRule="auto"/>
              <w:ind w:left="604" w:hanging="567"/>
              <w:jc w:val="both"/>
              <w:outlineLvl w:val="0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b/>
                <w:sz w:val="20"/>
              </w:rPr>
              <w:t>Wymagane funkcje</w:t>
            </w:r>
          </w:p>
          <w:p w14:paraId="248C708A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Funkcja automatycznej negocjacji prędkości i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duplexu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dla połączeń.</w:t>
            </w:r>
          </w:p>
          <w:p w14:paraId="3AC616B4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lastRenderedPageBreak/>
              <w:t xml:space="preserve">Obsługa Jumbo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Frames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>.</w:t>
            </w:r>
          </w:p>
          <w:p w14:paraId="5C61D68C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Obsługa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802.1d (Spanning Tree), 802.1w (Rapid Spanning Tree), 802.1s (Multiple Spanning Tree).</w:t>
            </w:r>
          </w:p>
          <w:p w14:paraId="3070ACED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Agregacja portów zgodna ze standardem 802.3ad.</w:t>
            </w:r>
          </w:p>
          <w:p w14:paraId="6DA6C16F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Obsługa co najmniej 4000 VLAN, zgodnie ze standardem 802.1Q.</w:t>
            </w:r>
          </w:p>
          <w:p w14:paraId="3157A826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Obsługa routingu statycznego.</w:t>
            </w:r>
          </w:p>
          <w:p w14:paraId="0ADA9825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Obsługa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Quality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of Service</w:t>
            </w:r>
          </w:p>
          <w:p w14:paraId="7F0B6ADA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Port-mirroring.</w:t>
            </w:r>
          </w:p>
          <w:p w14:paraId="740F1BDD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Uwierzytelnianie 802.1x na poziomie portu.</w:t>
            </w:r>
          </w:p>
          <w:p w14:paraId="02ACD211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Uwierzytelnianie 802.1x w oparciu o  adres MAC.</w:t>
            </w:r>
          </w:p>
          <w:p w14:paraId="3B03957E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W ramach 802.1x wsparcie dla dedykowanego 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VLANu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dla gości (</w:t>
            </w:r>
            <w:proofErr w:type="spellStart"/>
            <w:r w:rsidRPr="00AE308B">
              <w:rPr>
                <w:rFonts w:ascii="Bahnschrift" w:hAnsi="Bahnschrift" w:cstheme="minorHAnsi"/>
                <w:sz w:val="20"/>
              </w:rPr>
              <w:t>guest</w:t>
            </w:r>
            <w:proofErr w:type="spellEnd"/>
            <w:r w:rsidRPr="00AE308B">
              <w:rPr>
                <w:rFonts w:ascii="Bahnschrift" w:hAnsi="Bahnschrift" w:cstheme="minorHAnsi"/>
                <w:sz w:val="20"/>
              </w:rPr>
              <w:t xml:space="preserve"> VLAN).</w:t>
            </w:r>
          </w:p>
          <w:p w14:paraId="138AC8E9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W ramach 802.1x wsparcie dla  urządzeń, które nie obsługują tego protokołu, na podstawie adresu MAC urządzenia.</w:t>
            </w:r>
          </w:p>
          <w:p w14:paraId="4E4A5DB9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W ramach 802.1x  wsparcie dla dynamicznego przypisywania VLAN.</w:t>
            </w:r>
          </w:p>
          <w:p w14:paraId="15FA5C33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Obsługa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protokołu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sFlow</w:t>
            </w:r>
            <w:proofErr w:type="spellEnd"/>
            <w:r w:rsidRPr="00AE308B">
              <w:rPr>
                <w:rFonts w:ascii="Bahnschrift" w:hAnsi="Bahnschrift" w:cstheme="minorHAnsi"/>
                <w:color w:val="000000"/>
                <w:sz w:val="20"/>
                <w:lang w:val="en-US"/>
              </w:rPr>
              <w:t>.</w:t>
            </w:r>
          </w:p>
          <w:p w14:paraId="40AFC9C6" w14:textId="764BF91B" w:rsidR="00526403" w:rsidRPr="006B2099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sz w:val="20"/>
              </w:rPr>
            </w:pP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Możliwość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konfiguracji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dostarczonych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przełączników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tak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aby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możliwe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było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agregowanie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portów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pochodzących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z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różnych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urządzeń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 xml:space="preserve"> </w:t>
            </w:r>
            <w:proofErr w:type="spellStart"/>
            <w:r w:rsidRPr="00AE308B">
              <w:rPr>
                <w:rFonts w:ascii="Bahnschrift" w:hAnsi="Bahnschrift" w:cstheme="minorHAnsi"/>
                <w:sz w:val="20"/>
                <w:lang w:val="en-US"/>
              </w:rPr>
              <w:t>fizycznych</w:t>
            </w:r>
            <w:proofErr w:type="spellEnd"/>
            <w:r w:rsidRPr="00AE308B">
              <w:rPr>
                <w:rFonts w:ascii="Bahnschrift" w:hAnsi="Bahnschrift" w:cstheme="minorHAnsi"/>
                <w:sz w:val="20"/>
                <w:lang w:val="en-US"/>
              </w:rPr>
              <w:t>.</w:t>
            </w:r>
          </w:p>
          <w:p w14:paraId="5BA087E7" w14:textId="77777777" w:rsidR="006B2099" w:rsidRPr="00AE308B" w:rsidRDefault="006B2099" w:rsidP="006B2099">
            <w:pPr>
              <w:pStyle w:val="Akapitzlist"/>
              <w:suppressAutoHyphens/>
              <w:spacing w:after="160" w:line="360" w:lineRule="auto"/>
              <w:ind w:left="604"/>
              <w:jc w:val="both"/>
              <w:rPr>
                <w:rFonts w:ascii="Bahnschrift" w:hAnsi="Bahnschrift" w:cstheme="minorHAnsi"/>
                <w:sz w:val="20"/>
              </w:rPr>
            </w:pPr>
          </w:p>
          <w:p w14:paraId="6483D437" w14:textId="256DA8C6" w:rsidR="00526403" w:rsidRPr="00EB02A7" w:rsidRDefault="00526403" w:rsidP="00AE308B">
            <w:pPr>
              <w:pStyle w:val="Akapitzlist"/>
              <w:numPr>
                <w:ilvl w:val="0"/>
                <w:numId w:val="4"/>
              </w:numPr>
              <w:suppressAutoHyphens/>
              <w:spacing w:after="160" w:line="360" w:lineRule="auto"/>
              <w:ind w:left="604" w:hanging="567"/>
              <w:jc w:val="both"/>
              <w:rPr>
                <w:rFonts w:ascii="Bahnschrift" w:hAnsi="Bahnschrift" w:cstheme="minorHAnsi"/>
                <w:b/>
                <w:color w:val="FF0000"/>
                <w:sz w:val="20"/>
              </w:rPr>
            </w:pPr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 xml:space="preserve">W przypadku zaoferowania </w:t>
            </w:r>
            <w:proofErr w:type="spellStart"/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>switcha</w:t>
            </w:r>
            <w:proofErr w:type="spellEnd"/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 xml:space="preserve"> który nie będzie integrował się z </w:t>
            </w:r>
            <w:proofErr w:type="spellStart"/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>FortiGate</w:t>
            </w:r>
            <w:proofErr w:type="spellEnd"/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 xml:space="preserve"> 500E</w:t>
            </w:r>
            <w:r w:rsidR="006B2099"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 xml:space="preserve"> (zgodnie z oświadczeniem złożonym w Formularzu oferty)</w:t>
            </w:r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 xml:space="preserve"> konieczne jest</w:t>
            </w:r>
            <w:r w:rsidR="006B2099" w:rsidRPr="00EB02A7">
              <w:rPr>
                <w:rStyle w:val="Odwoanieprzypisudolnego"/>
                <w:rFonts w:ascii="Bahnschrift" w:hAnsi="Bahnschrift" w:cstheme="minorHAnsi"/>
                <w:b/>
                <w:color w:val="FF0000"/>
                <w:sz w:val="20"/>
              </w:rPr>
              <w:footnoteReference w:id="1"/>
            </w:r>
            <w:r w:rsidRPr="00EB02A7">
              <w:rPr>
                <w:rFonts w:ascii="Bahnschrift" w:hAnsi="Bahnschrift" w:cstheme="minorHAnsi"/>
                <w:b/>
                <w:color w:val="FF0000"/>
                <w:sz w:val="20"/>
              </w:rPr>
              <w:t>:</w:t>
            </w:r>
          </w:p>
          <w:p w14:paraId="30713A64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Działanie w warstwie L2 i L3</w:t>
            </w:r>
          </w:p>
          <w:p w14:paraId="02D9E433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Możliwość spięcia w jedno urządzenie wirtualne za pomocą światłowodów dwóch </w:t>
            </w:r>
            <w:r w:rsidRPr="00AE308B">
              <w:rPr>
                <w:rFonts w:ascii="Bahnschrift" w:hAnsi="Bahnschrift" w:cstheme="minorHAnsi"/>
                <w:sz w:val="20"/>
              </w:rPr>
              <w:lastRenderedPageBreak/>
              <w:t>urządzeń fizycznych, tak aby każde z urządzeń mogło się znajdować w innej lokalizacji (najlepiej zarządzane pod jednym adresem IP)</w:t>
            </w:r>
          </w:p>
          <w:p w14:paraId="7C143225" w14:textId="77777777" w:rsidR="00526403" w:rsidRPr="00AE308B" w:rsidRDefault="00526403" w:rsidP="00AE308B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>Obsługiwane protokoły routingu :</w:t>
            </w:r>
          </w:p>
          <w:p w14:paraId="2DD4A96F" w14:textId="37D0A847" w:rsidR="00526403" w:rsidRPr="00EB02A7" w:rsidRDefault="00EB02A7" w:rsidP="00EB02A7">
            <w:pPr>
              <w:spacing w:line="360" w:lineRule="auto"/>
              <w:ind w:left="731" w:hanging="142"/>
              <w:rPr>
                <w:rFonts w:ascii="Bahnschrift" w:hAnsi="Bahnschrift" w:cstheme="minorHAnsi"/>
                <w:sz w:val="20"/>
              </w:rPr>
            </w:pPr>
            <w:r w:rsidRPr="00EB02A7">
              <w:rPr>
                <w:rFonts w:ascii="Bahnschrift" w:hAnsi="Bahnschrift" w:cstheme="minorHAnsi"/>
                <w:sz w:val="20"/>
              </w:rPr>
              <w:t>6</w:t>
            </w:r>
            <w:r w:rsidR="00526403" w:rsidRPr="00EB02A7">
              <w:rPr>
                <w:rFonts w:ascii="Bahnschrift" w:hAnsi="Bahnschrift" w:cstheme="minorHAnsi"/>
                <w:sz w:val="20"/>
              </w:rPr>
              <w:t xml:space="preserve">.3.1  </w:t>
            </w:r>
            <w:r w:rsidRPr="00EB02A7">
              <w:rPr>
                <w:rFonts w:ascii="Bahnschrift" w:hAnsi="Bahnschrift" w:cstheme="minorHAnsi"/>
                <w:sz w:val="20"/>
              </w:rPr>
              <w:t xml:space="preserve">  </w:t>
            </w:r>
            <w:r w:rsidR="00526403" w:rsidRPr="00EB02A7">
              <w:rPr>
                <w:rFonts w:ascii="Bahnschrift" w:hAnsi="Bahnschrift" w:cstheme="minorHAnsi"/>
                <w:sz w:val="20"/>
              </w:rPr>
              <w:t>OSPF</w:t>
            </w:r>
          </w:p>
          <w:p w14:paraId="5274D8C5" w14:textId="25F7CAF3" w:rsidR="00526403" w:rsidRPr="00EB02A7" w:rsidRDefault="00EB02A7" w:rsidP="00EB02A7">
            <w:pPr>
              <w:spacing w:line="360" w:lineRule="auto"/>
              <w:ind w:left="589"/>
              <w:rPr>
                <w:rFonts w:ascii="Bahnschrift" w:hAnsi="Bahnschrift" w:cstheme="minorHAnsi"/>
                <w:sz w:val="20"/>
              </w:rPr>
            </w:pPr>
            <w:r w:rsidRPr="00EB02A7">
              <w:rPr>
                <w:rFonts w:ascii="Bahnschrift" w:hAnsi="Bahnschrift" w:cstheme="minorHAnsi"/>
                <w:sz w:val="20"/>
              </w:rPr>
              <w:t>6</w:t>
            </w:r>
            <w:r w:rsidR="00526403" w:rsidRPr="00EB02A7">
              <w:rPr>
                <w:rFonts w:ascii="Bahnschrift" w:hAnsi="Bahnschrift" w:cstheme="minorHAnsi"/>
                <w:sz w:val="20"/>
              </w:rPr>
              <w:t xml:space="preserve">.3.2 </w:t>
            </w:r>
            <w:r w:rsidRPr="00EB02A7">
              <w:rPr>
                <w:rFonts w:ascii="Bahnschrift" w:hAnsi="Bahnschrift" w:cstheme="minorHAnsi"/>
                <w:sz w:val="20"/>
              </w:rPr>
              <w:t xml:space="preserve">  </w:t>
            </w:r>
            <w:r w:rsidR="00526403" w:rsidRPr="00EB02A7">
              <w:rPr>
                <w:rFonts w:ascii="Bahnschrift" w:hAnsi="Bahnschrift" w:cstheme="minorHAnsi"/>
                <w:sz w:val="20"/>
              </w:rPr>
              <w:t xml:space="preserve"> RIP-1</w:t>
            </w:r>
          </w:p>
          <w:p w14:paraId="67ACE869" w14:textId="05C640BF" w:rsidR="00526403" w:rsidRPr="00AE308B" w:rsidRDefault="00526403" w:rsidP="00EB02A7">
            <w:pPr>
              <w:pStyle w:val="Akapitzlist"/>
              <w:numPr>
                <w:ilvl w:val="2"/>
                <w:numId w:val="7"/>
              </w:numPr>
              <w:spacing w:line="360" w:lineRule="auto"/>
              <w:ind w:left="1156" w:hanging="553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 RIP-2</w:t>
            </w:r>
          </w:p>
          <w:p w14:paraId="6F5D0518" w14:textId="2E9EC815" w:rsidR="00526403" w:rsidRDefault="00526403" w:rsidP="00EB02A7">
            <w:pPr>
              <w:pStyle w:val="Akapitzlist"/>
              <w:numPr>
                <w:ilvl w:val="2"/>
                <w:numId w:val="7"/>
              </w:numPr>
              <w:spacing w:line="360" w:lineRule="auto"/>
              <w:ind w:left="1156" w:hanging="553"/>
              <w:rPr>
                <w:rFonts w:ascii="Bahnschrift" w:hAnsi="Bahnschrift" w:cstheme="minorHAnsi"/>
                <w:sz w:val="20"/>
              </w:rPr>
            </w:pPr>
            <w:r w:rsidRPr="00EB02A7">
              <w:rPr>
                <w:rFonts w:ascii="Bahnschrift" w:hAnsi="Bahnschrift" w:cstheme="minorHAnsi"/>
                <w:sz w:val="20"/>
              </w:rPr>
              <w:t xml:space="preserve"> IGMP </w:t>
            </w:r>
          </w:p>
          <w:p w14:paraId="5E995AB6" w14:textId="221AB1B1" w:rsidR="00526403" w:rsidRPr="00EB02A7" w:rsidRDefault="00EB02A7" w:rsidP="00EB02A7">
            <w:pPr>
              <w:pStyle w:val="Akapitzlist"/>
              <w:numPr>
                <w:ilvl w:val="2"/>
                <w:numId w:val="7"/>
              </w:numPr>
              <w:spacing w:line="360" w:lineRule="auto"/>
              <w:ind w:left="1156" w:hanging="553"/>
              <w:rPr>
                <w:rFonts w:ascii="Bahnschrift" w:hAnsi="Bahnschrift" w:cstheme="minorHAnsi"/>
                <w:sz w:val="20"/>
              </w:rPr>
            </w:pPr>
            <w:r>
              <w:rPr>
                <w:rFonts w:ascii="Bahnschrift" w:hAnsi="Bahnschrift" w:cstheme="minorHAnsi"/>
                <w:sz w:val="20"/>
              </w:rPr>
              <w:t xml:space="preserve"> </w:t>
            </w:r>
            <w:r w:rsidR="00526403" w:rsidRPr="00EB02A7">
              <w:rPr>
                <w:rFonts w:ascii="Bahnschrift" w:hAnsi="Bahnschrift" w:cstheme="minorHAnsi"/>
                <w:sz w:val="20"/>
              </w:rPr>
              <w:t>BGP</w:t>
            </w:r>
          </w:p>
          <w:p w14:paraId="3C39CEA9" w14:textId="65C79F9B" w:rsidR="00526403" w:rsidRPr="00AE308B" w:rsidRDefault="00526403" w:rsidP="00EB02A7">
            <w:pPr>
              <w:pStyle w:val="Akapitzlist"/>
              <w:numPr>
                <w:ilvl w:val="1"/>
                <w:numId w:val="4"/>
              </w:numPr>
              <w:suppressAutoHyphens/>
              <w:spacing w:after="160" w:line="360" w:lineRule="auto"/>
              <w:ind w:left="604" w:hanging="567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 Obsługa protokołów zdalnego zarządzania:</w:t>
            </w:r>
          </w:p>
          <w:p w14:paraId="10B9FB5F" w14:textId="5979F9FF" w:rsidR="00526403" w:rsidRPr="00AE308B" w:rsidRDefault="00526403" w:rsidP="00A20837">
            <w:pPr>
              <w:spacing w:line="360" w:lineRule="auto"/>
              <w:ind w:left="447" w:hanging="142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      </w:t>
            </w:r>
            <w:r w:rsidR="00A20837">
              <w:rPr>
                <w:rFonts w:ascii="Bahnschrift" w:hAnsi="Bahnschrift" w:cstheme="minorHAnsi"/>
                <w:sz w:val="20"/>
              </w:rPr>
              <w:t>6</w:t>
            </w:r>
            <w:r w:rsidRPr="00AE308B">
              <w:rPr>
                <w:rFonts w:ascii="Bahnschrift" w:hAnsi="Bahnschrift" w:cstheme="minorHAnsi"/>
                <w:sz w:val="20"/>
              </w:rPr>
              <w:t>.4.1 SNMP</w:t>
            </w:r>
          </w:p>
          <w:p w14:paraId="49ED140C" w14:textId="7B994E03" w:rsidR="00526403" w:rsidRPr="00AE308B" w:rsidRDefault="00526403" w:rsidP="00A20837">
            <w:pPr>
              <w:spacing w:line="360" w:lineRule="auto"/>
              <w:ind w:left="447" w:hanging="142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      </w:t>
            </w:r>
            <w:r w:rsidR="00A20837">
              <w:rPr>
                <w:rFonts w:ascii="Bahnschrift" w:hAnsi="Bahnschrift" w:cstheme="minorHAnsi"/>
                <w:sz w:val="20"/>
              </w:rPr>
              <w:t>6</w:t>
            </w:r>
            <w:r w:rsidRPr="00AE308B">
              <w:rPr>
                <w:rFonts w:ascii="Bahnschrift" w:hAnsi="Bahnschrift" w:cstheme="minorHAnsi"/>
                <w:sz w:val="20"/>
              </w:rPr>
              <w:t>.4.2. RMON</w:t>
            </w:r>
          </w:p>
          <w:p w14:paraId="2726F477" w14:textId="5D16BA45" w:rsidR="00526403" w:rsidRPr="00AE308B" w:rsidRDefault="00526403" w:rsidP="00A20837">
            <w:pPr>
              <w:spacing w:line="360" w:lineRule="auto"/>
              <w:ind w:left="589" w:hanging="142"/>
              <w:rPr>
                <w:rFonts w:ascii="Bahnschrift" w:hAnsi="Bahnschrift" w:cstheme="minorHAnsi"/>
                <w:sz w:val="20"/>
              </w:rPr>
            </w:pPr>
            <w:r w:rsidRPr="00AE308B">
              <w:rPr>
                <w:rFonts w:ascii="Bahnschrift" w:hAnsi="Bahnschrift" w:cstheme="minorHAnsi"/>
                <w:sz w:val="20"/>
              </w:rPr>
              <w:t xml:space="preserve">   </w:t>
            </w:r>
            <w:r w:rsidR="00A20837">
              <w:rPr>
                <w:rFonts w:ascii="Bahnschrift" w:hAnsi="Bahnschrift" w:cstheme="minorHAnsi"/>
                <w:sz w:val="20"/>
              </w:rPr>
              <w:t>6</w:t>
            </w:r>
            <w:r w:rsidRPr="00AE308B">
              <w:rPr>
                <w:rFonts w:ascii="Bahnschrift" w:hAnsi="Bahnschrift" w:cstheme="minorHAnsi"/>
                <w:sz w:val="20"/>
              </w:rPr>
              <w:t>.4.3. TFTP</w:t>
            </w:r>
          </w:p>
          <w:p w14:paraId="1858327F" w14:textId="77777777" w:rsidR="00526403" w:rsidRPr="00EB02A7" w:rsidRDefault="00526403" w:rsidP="00EB02A7">
            <w:pPr>
              <w:spacing w:line="360" w:lineRule="auto"/>
              <w:jc w:val="both"/>
              <w:rPr>
                <w:rFonts w:ascii="Bahnschrift" w:hAnsi="Bahnschrift"/>
                <w:b/>
                <w:sz w:val="20"/>
                <w:lang w:eastAsia="en-US"/>
              </w:rPr>
            </w:pP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DF2C" w14:textId="77777777" w:rsidR="00526403" w:rsidRPr="00AE308B" w:rsidRDefault="00526403" w:rsidP="00AE308B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lang w:eastAsia="en-US"/>
              </w:rPr>
            </w:pPr>
          </w:p>
        </w:tc>
      </w:tr>
    </w:tbl>
    <w:p w14:paraId="096DB794" w14:textId="77777777" w:rsidR="005B04D7" w:rsidRPr="00AE308B" w:rsidRDefault="005B04D7" w:rsidP="00AE308B">
      <w:pPr>
        <w:spacing w:line="360" w:lineRule="auto"/>
        <w:rPr>
          <w:rFonts w:ascii="Bahnschrift" w:hAnsi="Bahnschrift"/>
          <w:sz w:val="20"/>
        </w:rPr>
      </w:pPr>
    </w:p>
    <w:sectPr w:rsidR="005B04D7" w:rsidRPr="00AE30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1945" w14:textId="77777777" w:rsidR="00AE308B" w:rsidRDefault="00AE308B" w:rsidP="00AE308B">
      <w:pPr>
        <w:spacing w:line="240" w:lineRule="auto"/>
      </w:pPr>
      <w:r>
        <w:separator/>
      </w:r>
    </w:p>
  </w:endnote>
  <w:endnote w:type="continuationSeparator" w:id="0">
    <w:p w14:paraId="74A45D50" w14:textId="77777777" w:rsidR="00AE308B" w:rsidRDefault="00AE308B" w:rsidP="00AE3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1122F" w14:textId="77777777" w:rsidR="00AE308B" w:rsidRDefault="00AE30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A4AD6" w14:textId="530A2C04" w:rsidR="00AE308B" w:rsidRPr="00EE3F75" w:rsidRDefault="00AE308B" w:rsidP="00AE308B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8D32143" wp14:editId="0F4D3D8C">
              <wp:simplePos x="0" y="0"/>
              <wp:positionH relativeFrom="rightMargin">
                <wp:posOffset>178435</wp:posOffset>
              </wp:positionH>
              <wp:positionV relativeFrom="margin">
                <wp:posOffset>6482080</wp:posOffset>
              </wp:positionV>
              <wp:extent cx="510540" cy="2009775"/>
              <wp:effectExtent l="0" t="0" r="0" b="952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009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FDDCF" w14:textId="5FA0B551" w:rsidR="00AE308B" w:rsidRPr="00AE308B" w:rsidRDefault="00AE308B">
                          <w:pPr>
                            <w:pStyle w:val="Stopka"/>
                            <w:rPr>
                              <w:rFonts w:ascii="Bahnschrift" w:eastAsiaTheme="majorEastAsia" w:hAnsi="Bahnschrift" w:cstheme="majorBidi"/>
                              <w:sz w:val="16"/>
                              <w:szCs w:val="16"/>
                            </w:rPr>
                          </w:pPr>
                          <w:r w:rsidRPr="00AE308B">
                            <w:rPr>
                              <w:rFonts w:ascii="Bahnschrift" w:eastAsiaTheme="majorEastAsia" w:hAnsi="Bahnschrift" w:cstheme="majorBidi"/>
                              <w:sz w:val="16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="Bahnschrift" w:eastAsiaTheme="majorEastAsia" w:hAnsi="Bahnschrift" w:cstheme="majorBidi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08B">
                            <w:rPr>
                              <w:rFonts w:ascii="Bahnschrift" w:eastAsiaTheme="minorEastAsia" w:hAnsi="Bahnschrift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E308B">
                            <w:rPr>
                              <w:rFonts w:ascii="Bahnschrift" w:hAnsi="Bahnschrift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AE308B">
                            <w:rPr>
                              <w:rFonts w:ascii="Bahnschrift" w:eastAsiaTheme="minorEastAsia" w:hAnsi="Bahnschrift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AE308B">
                            <w:rPr>
                              <w:rFonts w:ascii="Bahnschrift" w:eastAsiaTheme="majorEastAsia" w:hAnsi="Bahnschrift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AE308B">
                            <w:rPr>
                              <w:rFonts w:ascii="Bahnschrift" w:eastAsiaTheme="majorEastAsia" w:hAnsi="Bahnschrift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D32143" id="Prostokąt 1" o:spid="_x0000_s1026" style="position:absolute;left:0;text-align:left;margin-left:14.05pt;margin-top:510.4pt;width:40.2pt;height:158.2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" o:allowincell="f" filled="f" stroked="f">
              <v:textbox style="layout-flow:vertical;mso-layout-flow-alt:bottom-to-top;mso-fit-shape-to-text:t">
                <w:txbxContent>
                  <w:p w14:paraId="16AFDDCF" w14:textId="5FA0B551" w:rsidR="00AE308B" w:rsidRPr="00AE308B" w:rsidRDefault="00AE308B">
                    <w:pPr>
                      <w:pStyle w:val="Stopka"/>
                      <w:rPr>
                        <w:rFonts w:ascii="Bahnschrift" w:eastAsiaTheme="majorEastAsia" w:hAnsi="Bahnschrift" w:cstheme="majorBidi"/>
                        <w:sz w:val="16"/>
                        <w:szCs w:val="16"/>
                      </w:rPr>
                    </w:pPr>
                    <w:r w:rsidRPr="00AE308B">
                      <w:rPr>
                        <w:rFonts w:ascii="Bahnschrift" w:eastAsiaTheme="majorEastAsia" w:hAnsi="Bahnschrift" w:cstheme="majorBidi"/>
                        <w:sz w:val="16"/>
                        <w:szCs w:val="16"/>
                      </w:rPr>
                      <w:t>Strona</w:t>
                    </w:r>
                    <w:r>
                      <w:rPr>
                        <w:rFonts w:ascii="Bahnschrift" w:eastAsiaTheme="majorEastAsia" w:hAnsi="Bahnschrift" w:cstheme="majorBidi"/>
                        <w:sz w:val="16"/>
                        <w:szCs w:val="16"/>
                      </w:rPr>
                      <w:t xml:space="preserve"> </w:t>
                    </w:r>
                    <w:r w:rsidRPr="00AE308B">
                      <w:rPr>
                        <w:rFonts w:ascii="Bahnschrift" w:eastAsiaTheme="minorEastAsia" w:hAnsi="Bahnschrift"/>
                        <w:sz w:val="16"/>
                        <w:szCs w:val="16"/>
                      </w:rPr>
                      <w:fldChar w:fldCharType="begin"/>
                    </w:r>
                    <w:r w:rsidRPr="00AE308B">
                      <w:rPr>
                        <w:rFonts w:ascii="Bahnschrift" w:hAnsi="Bahnschrift"/>
                        <w:sz w:val="16"/>
                        <w:szCs w:val="16"/>
                      </w:rPr>
                      <w:instrText>PAGE    \* MERGEFORMAT</w:instrText>
                    </w:r>
                    <w:r w:rsidRPr="00AE308B">
                      <w:rPr>
                        <w:rFonts w:ascii="Bahnschrift" w:eastAsiaTheme="minorEastAsia" w:hAnsi="Bahnschrift"/>
                        <w:sz w:val="16"/>
                        <w:szCs w:val="16"/>
                      </w:rPr>
                      <w:fldChar w:fldCharType="separate"/>
                    </w:r>
                    <w:r w:rsidRPr="00AE308B">
                      <w:rPr>
                        <w:rFonts w:ascii="Bahnschrift" w:eastAsiaTheme="majorEastAsia" w:hAnsi="Bahnschrift" w:cstheme="majorBidi"/>
                        <w:sz w:val="16"/>
                        <w:szCs w:val="16"/>
                      </w:rPr>
                      <w:t>2</w:t>
                    </w:r>
                    <w:r w:rsidRPr="00AE308B">
                      <w:rPr>
                        <w:rFonts w:ascii="Bahnschrift" w:eastAsiaTheme="majorEastAsia" w:hAnsi="Bahnschrift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EE3F75">
      <w:rPr>
        <w:rFonts w:ascii="PT Sans" w:hAnsi="PT Sans"/>
        <w:color w:val="002D59"/>
        <w:sz w:val="16"/>
        <w:szCs w:val="16"/>
      </w:rPr>
      <w:t>Uniwersytet Śląski w Katowicach</w:t>
    </w:r>
  </w:p>
  <w:p w14:paraId="7955BAD9" w14:textId="77777777" w:rsidR="00AE308B" w:rsidRPr="00EE3F75" w:rsidRDefault="00AE308B" w:rsidP="00AE308B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 w:val="16"/>
        <w:szCs w:val="16"/>
      </w:rPr>
      <w:t>Dział Zamówień Publicznych</w:t>
    </w:r>
  </w:p>
  <w:p w14:paraId="68EDFF21" w14:textId="77777777" w:rsidR="00AE308B" w:rsidRPr="00EE3F75" w:rsidRDefault="00AE308B" w:rsidP="00AE308B">
    <w:pPr>
      <w:tabs>
        <w:tab w:val="left" w:pos="8490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 w:val="16"/>
        <w:szCs w:val="16"/>
      </w:rPr>
      <w:t>ul. Bankowa 12, 40-007 Katowice</w:t>
    </w:r>
    <w:r w:rsidRPr="00EE3F75">
      <w:rPr>
        <w:rFonts w:ascii="PT Sans" w:hAnsi="PT Sans"/>
        <w:color w:val="002D59"/>
        <w:sz w:val="16"/>
        <w:szCs w:val="16"/>
      </w:rPr>
      <w:tab/>
    </w:r>
  </w:p>
  <w:p w14:paraId="0D618F33" w14:textId="77777777" w:rsidR="00AE308B" w:rsidRPr="00EE3F75" w:rsidRDefault="00AE308B" w:rsidP="00AE308B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u w:val="single"/>
        <w:lang w:val="de-DE"/>
      </w:rPr>
    </w:pPr>
    <w:r w:rsidRPr="00EE3F75"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 w:rsidRPr="00EE3F75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EE3F75"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21EBB45C" w14:textId="77777777" w:rsidR="00AE308B" w:rsidRDefault="00AE30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D8DA9" w14:textId="77777777" w:rsidR="00AE308B" w:rsidRDefault="00AE30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7432E" w14:textId="77777777" w:rsidR="00AE308B" w:rsidRDefault="00AE308B" w:rsidP="00AE308B">
      <w:pPr>
        <w:spacing w:line="240" w:lineRule="auto"/>
      </w:pPr>
      <w:r>
        <w:separator/>
      </w:r>
    </w:p>
  </w:footnote>
  <w:footnote w:type="continuationSeparator" w:id="0">
    <w:p w14:paraId="58247219" w14:textId="77777777" w:rsidR="00AE308B" w:rsidRDefault="00AE308B" w:rsidP="00AE308B">
      <w:pPr>
        <w:spacing w:line="240" w:lineRule="auto"/>
      </w:pPr>
      <w:r>
        <w:continuationSeparator/>
      </w:r>
    </w:p>
  </w:footnote>
  <w:footnote w:id="1">
    <w:p w14:paraId="7AF068D3" w14:textId="74C32AFC" w:rsidR="006B2099" w:rsidRPr="00EB02A7" w:rsidRDefault="006B2099" w:rsidP="00A20837">
      <w:pPr>
        <w:pStyle w:val="Tekstprzypisudolnego"/>
        <w:jc w:val="both"/>
        <w:rPr>
          <w:sz w:val="22"/>
          <w:szCs w:val="22"/>
        </w:rPr>
      </w:pPr>
      <w:r w:rsidRPr="00EB02A7">
        <w:rPr>
          <w:rStyle w:val="Odwoanieprzypisudolnego"/>
          <w:color w:val="FF0000"/>
          <w:sz w:val="22"/>
          <w:szCs w:val="22"/>
        </w:rPr>
        <w:footnoteRef/>
      </w:r>
      <w:r w:rsidRPr="00EB02A7">
        <w:rPr>
          <w:color w:val="FF0000"/>
          <w:sz w:val="22"/>
          <w:szCs w:val="22"/>
        </w:rPr>
        <w:t xml:space="preserve"> </w:t>
      </w:r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W przypadku zaoferowania przez Wykonawcę integracji z posiadanym przez Zamawiającego urządzeniem </w:t>
      </w:r>
      <w:proofErr w:type="spellStart"/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>Forti</w:t>
      </w:r>
      <w:r w:rsidR="00EB02A7">
        <w:rPr>
          <w:rFonts w:ascii="Bahnschrift" w:hAnsi="Bahnschrift"/>
          <w:color w:val="FF0000"/>
          <w:sz w:val="22"/>
          <w:szCs w:val="22"/>
          <w:vertAlign w:val="superscript"/>
        </w:rPr>
        <w:t>G</w:t>
      </w:r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>ate</w:t>
      </w:r>
      <w:proofErr w:type="spellEnd"/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 500E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 (</w:t>
      </w:r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zgodnie z treścią Formularza oferty 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- </w:t>
      </w:r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>załącznik 1A do SWZ)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, </w:t>
      </w:r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nie ma konieczności </w:t>
      </w:r>
      <w:r w:rsidR="00A2083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wypełnienia kolumny 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pn. „Parametry techniczne oferowanego przedmiotu zamówienia” </w:t>
      </w:r>
      <w:r w:rsidR="00A2083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w zakresie 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wymagań z pkt </w:t>
      </w:r>
      <w:r w:rsidRPr="00EB02A7">
        <w:rPr>
          <w:rFonts w:ascii="Bahnschrift" w:hAnsi="Bahnschrift"/>
          <w:color w:val="FF0000"/>
          <w:sz w:val="22"/>
          <w:szCs w:val="22"/>
          <w:vertAlign w:val="superscript"/>
        </w:rPr>
        <w:t>6.</w:t>
      </w:r>
      <w:r w:rsidRPr="00EB02A7">
        <w:rPr>
          <w:color w:val="FF0000"/>
          <w:sz w:val="22"/>
          <w:szCs w:val="22"/>
        </w:rPr>
        <w:t xml:space="preserve"> </w:t>
      </w:r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Konieczność wypełnienia kolumny 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pn. „Parametry techniczne oferowanego przedmiotu zamówienia” </w:t>
      </w:r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w zakresie 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 xml:space="preserve">wymagań z pkt 6 </w:t>
      </w:r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zachodzi w przypadku, gdy 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>W</w:t>
      </w:r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ykonawca nie oferuje integracji z posiadanym przez </w:t>
      </w:r>
      <w:proofErr w:type="spellStart"/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>Zamawiajacego</w:t>
      </w:r>
      <w:proofErr w:type="spellEnd"/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 urządzeniem </w:t>
      </w:r>
      <w:proofErr w:type="spellStart"/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>Forti</w:t>
      </w:r>
      <w:r w:rsidR="00A20837">
        <w:rPr>
          <w:rFonts w:ascii="Bahnschrift" w:hAnsi="Bahnschrift"/>
          <w:color w:val="FF0000"/>
          <w:sz w:val="22"/>
          <w:szCs w:val="22"/>
          <w:vertAlign w:val="superscript"/>
        </w:rPr>
        <w:t>G</w:t>
      </w:r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>ate</w:t>
      </w:r>
      <w:proofErr w:type="spellEnd"/>
      <w:r w:rsidR="00EB02A7" w:rsidRPr="00EB02A7">
        <w:rPr>
          <w:rFonts w:ascii="Bahnschrift" w:hAnsi="Bahnschrift"/>
          <w:color w:val="FF0000"/>
          <w:sz w:val="22"/>
          <w:szCs w:val="22"/>
          <w:vertAlign w:val="superscript"/>
        </w:rPr>
        <w:t xml:space="preserve"> 500E.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C931B" w14:textId="77777777" w:rsidR="00AE308B" w:rsidRDefault="00AE30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0AEA1" w14:textId="33655F6A" w:rsidR="00AE308B" w:rsidRDefault="002E7638">
    <w:pPr>
      <w:pStyle w:val="Nagwek"/>
    </w:pPr>
    <w:sdt>
      <w:sdtPr>
        <w:id w:val="-1441993652"/>
        <w:docPartObj>
          <w:docPartGallery w:val="Page Numbers (Margins)"/>
          <w:docPartUnique/>
        </w:docPartObj>
      </w:sdtPr>
      <w:sdtEndPr/>
      <w:sdtContent/>
    </w:sdt>
    <w:r>
      <w:rPr>
        <w:noProof/>
      </w:rPr>
      <w:pict w14:anchorId="06564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049" type="#_x0000_t75" alt="Logo Uniwersytetu Śląskiego w Katowicach, logo Europejskiego Miasta Nauki Katowice 2024" style="position:absolute;margin-left:.75pt;margin-top:-27pt;width:595.25pt;height:841.6pt;z-index:-251658240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82AC7" w14:textId="77777777" w:rsidR="00AE308B" w:rsidRDefault="00AE3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23EDD"/>
    <w:multiLevelType w:val="multilevel"/>
    <w:tmpl w:val="9034881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361E67"/>
    <w:multiLevelType w:val="multilevel"/>
    <w:tmpl w:val="199E33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F024B7"/>
    <w:multiLevelType w:val="multilevel"/>
    <w:tmpl w:val="81088A6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21AE4291"/>
    <w:multiLevelType w:val="multilevel"/>
    <w:tmpl w:val="0C3A901A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3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800"/>
      </w:pPr>
      <w:rPr>
        <w:rFonts w:hint="default"/>
      </w:rPr>
    </w:lvl>
  </w:abstractNum>
  <w:abstractNum w:abstractNumId="4" w15:restartNumberingAfterBreak="0">
    <w:nsid w:val="5C5201F0"/>
    <w:multiLevelType w:val="multilevel"/>
    <w:tmpl w:val="EE18AC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5" w15:restartNumberingAfterBreak="0">
    <w:nsid w:val="638E0021"/>
    <w:multiLevelType w:val="multilevel"/>
    <w:tmpl w:val="4B06A2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DD13DB0"/>
    <w:multiLevelType w:val="multilevel"/>
    <w:tmpl w:val="8F36A9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DU0OTIyZWMtYzQwMS00NzQ0LWI2ZjctMWUzMTliM2E1OTQzIg0KfQ=="/>
    <w:docVar w:name="GVData0" w:val="(end)"/>
  </w:docVars>
  <w:rsids>
    <w:rsidRoot w:val="00526403"/>
    <w:rsid w:val="000404DA"/>
    <w:rsid w:val="00113B7D"/>
    <w:rsid w:val="00181FAF"/>
    <w:rsid w:val="0028606A"/>
    <w:rsid w:val="002E7638"/>
    <w:rsid w:val="00526403"/>
    <w:rsid w:val="005B04D7"/>
    <w:rsid w:val="006B2099"/>
    <w:rsid w:val="007B6150"/>
    <w:rsid w:val="00851A49"/>
    <w:rsid w:val="00A20837"/>
    <w:rsid w:val="00AE308B"/>
    <w:rsid w:val="00B77906"/>
    <w:rsid w:val="00C74F0F"/>
    <w:rsid w:val="00EB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9682FF"/>
  <w15:chartTrackingRefBased/>
  <w15:docId w15:val="{6DCD4244-6F39-4548-8965-7724C17C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6403"/>
    <w:pPr>
      <w:spacing w:after="0" w:line="276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403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26403"/>
    <w:rPr>
      <w:rFonts w:ascii="Calibri" w:eastAsia="Times New Roman" w:hAnsi="Calibri" w:cs="Times New Roman"/>
      <w:color w:val="000000"/>
      <w:sz w:val="26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640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26403"/>
    <w:rPr>
      <w:rFonts w:ascii="Calibri" w:eastAsia="Times New Roman" w:hAnsi="Calibri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F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FAF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FA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FA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F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FA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30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08B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0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08B"/>
    <w:rPr>
      <w:rFonts w:ascii="Calibri" w:eastAsia="Times New Roman" w:hAnsi="Calibri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209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09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2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480D0-A06F-4A5A-82D3-4B8A58D5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Kubisztal</dc:creator>
  <cp:keywords/>
  <dc:description/>
  <cp:lastModifiedBy>Aneta Szturc-Krawczyk</cp:lastModifiedBy>
  <cp:revision>8</cp:revision>
  <dcterms:created xsi:type="dcterms:W3CDTF">2024-08-07T11:26:00Z</dcterms:created>
  <dcterms:modified xsi:type="dcterms:W3CDTF">2024-09-24T11:03:00Z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ew0KICAiZG9jSUQiOiAiODU0OTIyZWMtYzQwMS00NzQ0LWI2ZjctMWUzMTliM2E1OTQzIg0KfQ==</vt:lpwstr>
  </property>
  <property fmtid="{D5CDD505-2E9C-101B-9397-08002B2CF9AE}" pid="3" name="GVData0">
    <vt:lpwstr>(end)</vt:lpwstr>
  </property>
</Properties>
</file>