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BF0" w:rsidRDefault="00BA257B">
      <w:pPr>
        <w:pStyle w:val="Akapitzlist"/>
        <w:spacing w:after="0"/>
        <w:ind w:left="284"/>
        <w:contextualSpacing w:val="0"/>
        <w:jc w:val="right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Załącznik nr 8 do Umowy</w:t>
      </w:r>
    </w:p>
    <w:p w:rsidR="00CA5BF0" w:rsidRDefault="00CA5BF0">
      <w:pPr>
        <w:pStyle w:val="Akapitzlist"/>
        <w:spacing w:after="0"/>
        <w:ind w:left="284"/>
        <w:contextualSpacing w:val="0"/>
        <w:rPr>
          <w:rFonts w:ascii="Arial" w:hAnsi="Arial" w:cs="Arial"/>
          <w:sz w:val="24"/>
          <w:szCs w:val="24"/>
        </w:rPr>
      </w:pPr>
    </w:p>
    <w:p w:rsidR="00CA5BF0" w:rsidRDefault="00CA5BF0">
      <w:pPr>
        <w:pStyle w:val="Akapitzlist"/>
        <w:spacing w:after="0"/>
        <w:ind w:left="284"/>
        <w:contextualSpacing w:val="0"/>
        <w:rPr>
          <w:rFonts w:ascii="Arial" w:hAnsi="Arial" w:cs="Arial"/>
          <w:sz w:val="24"/>
          <w:szCs w:val="24"/>
        </w:rPr>
      </w:pPr>
    </w:p>
    <w:p w:rsidR="00CA5BF0" w:rsidRDefault="00BA257B">
      <w:pPr>
        <w:pStyle w:val="Akapitzlist"/>
        <w:spacing w:after="0"/>
        <w:ind w:left="284"/>
        <w:contextualSpacing w:val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Zasady identyfikacji wizualnej i oznakowania autobusów</w:t>
      </w:r>
    </w:p>
    <w:p w:rsidR="00CA5BF0" w:rsidRDefault="00CA5BF0">
      <w:pPr>
        <w:pStyle w:val="Akapitzlist"/>
        <w:spacing w:after="0"/>
        <w:ind w:left="284"/>
        <w:contextualSpacing w:val="0"/>
        <w:rPr>
          <w:rFonts w:ascii="Arial" w:hAnsi="Arial" w:cs="Arial"/>
          <w:sz w:val="24"/>
          <w:szCs w:val="24"/>
        </w:rPr>
      </w:pPr>
    </w:p>
    <w:p w:rsidR="00CA5BF0" w:rsidRDefault="00BA257B">
      <w:pPr>
        <w:pStyle w:val="Akapitzlist"/>
        <w:tabs>
          <w:tab w:val="left" w:pos="3914"/>
        </w:tabs>
        <w:spacing w:after="0"/>
        <w:ind w:left="284"/>
        <w:contextualSpacing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</w:rPr>
        <w:tab/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Zasady ogólne:</w:t>
      </w:r>
    </w:p>
    <w:p w:rsidR="00CA5BF0" w:rsidRDefault="00BA257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wszystkie pojazdy mają jednolitą identyfikację wizualną, na którą składają się:</w:t>
      </w:r>
    </w:p>
    <w:p w:rsidR="00CA5BF0" w:rsidRDefault="00BA257B">
      <w:pPr>
        <w:pStyle w:val="Akapitzlist"/>
        <w:numPr>
          <w:ilvl w:val="0"/>
          <w:numId w:val="1"/>
        </w:numPr>
        <w:spacing w:after="0"/>
        <w:ind w:left="993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kolor poszycia zewnętrznego pojazdu,</w:t>
      </w:r>
    </w:p>
    <w:p w:rsidR="00CA5BF0" w:rsidRDefault="00BA257B">
      <w:pPr>
        <w:pStyle w:val="Akapitzlist"/>
        <w:numPr>
          <w:ilvl w:val="0"/>
          <w:numId w:val="1"/>
        </w:numPr>
        <w:spacing w:after="0"/>
        <w:ind w:left="993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kolorystyka wnętrza pojazdu,</w:t>
      </w:r>
    </w:p>
    <w:p w:rsidR="00CA5BF0" w:rsidRDefault="00BA257B">
      <w:pPr>
        <w:pStyle w:val="Akapitzlist"/>
        <w:numPr>
          <w:ilvl w:val="0"/>
          <w:numId w:val="1"/>
        </w:numPr>
        <w:spacing w:after="0"/>
        <w:ind w:left="993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oznakowanie,</w:t>
      </w:r>
    </w:p>
    <w:p w:rsidR="00CA5BF0" w:rsidRDefault="00BA257B">
      <w:pPr>
        <w:pStyle w:val="Akapitzlist"/>
        <w:numPr>
          <w:ilvl w:val="0"/>
          <w:numId w:val="1"/>
        </w:numPr>
        <w:spacing w:after="0"/>
        <w:ind w:left="993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informacje wewnętrzne,</w:t>
      </w:r>
    </w:p>
    <w:p w:rsidR="00CA5BF0" w:rsidRDefault="00BA257B">
      <w:pPr>
        <w:pStyle w:val="Akapitzlist"/>
        <w:numPr>
          <w:ilvl w:val="0"/>
          <w:numId w:val="1"/>
        </w:numPr>
        <w:spacing w:after="0"/>
        <w:ind w:left="993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informacje dodatkowe (w tym reklamy).</w:t>
      </w:r>
    </w:p>
    <w:p w:rsidR="00CA5BF0" w:rsidRDefault="00BA257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umieszczenie, utrzymanie i zapewnienie estetycznego wyglądu wszystkich elementów związanych z identyfikacją wizualną (nalepki, plakaty itp.), przekazanych do wywieszenia przez PKM, l</w:t>
      </w:r>
      <w:r>
        <w:rPr>
          <w:rFonts w:ascii="Arial" w:eastAsia="MS Mincho" w:hAnsi="Arial" w:cs="Arial"/>
        </w:rPr>
        <w:t>eży po stronie Podwykonawcy,</w:t>
      </w:r>
    </w:p>
    <w:p w:rsidR="00CA5BF0" w:rsidRDefault="00BA257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szczegółowe miejsce i sposób umieszczenia wszystkich elementów identyfikacji wizualnej pojazdów wskaże PKM,</w:t>
      </w:r>
    </w:p>
    <w:p w:rsidR="00CA5BF0" w:rsidRDefault="00BA257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elementy identyfikacji wizualnej bezpośrednio dotyczące Podwykonawcy, tj. logotypy, numery taborowe itd., są zlecane do</w:t>
      </w:r>
      <w:r>
        <w:rPr>
          <w:rFonts w:ascii="Arial" w:eastAsia="MS Mincho" w:hAnsi="Arial" w:cs="Arial"/>
        </w:rPr>
        <w:t xml:space="preserve"> produkcji przez </w:t>
      </w:r>
      <w:r>
        <w:rPr>
          <w:rFonts w:ascii="Arial" w:eastAsia="MS Mincho" w:hAnsi="Arial" w:cs="Arial"/>
        </w:rPr>
        <w:t>Podwykon</w:t>
      </w:r>
      <w:r>
        <w:rPr>
          <w:rFonts w:ascii="Arial" w:eastAsia="MS Mincho" w:hAnsi="Arial" w:cs="Arial"/>
        </w:rPr>
        <w:t>awcę na jego koszt. Elementy te, przed ich zleceniem do produkcji, muszą zostać przedstawione do akceptacji PKM zgodnie z poniższym:</w:t>
      </w:r>
    </w:p>
    <w:p w:rsidR="00CA5BF0" w:rsidRDefault="00BA257B">
      <w:pPr>
        <w:pStyle w:val="Akapitzlist"/>
        <w:numPr>
          <w:ilvl w:val="0"/>
          <w:numId w:val="2"/>
        </w:numPr>
        <w:spacing w:after="0"/>
        <w:ind w:left="993" w:hanging="19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elementy typu: ramki, numery taborowe, logo Podwykonawcy itd. – w postaci prototypu produktu,</w:t>
      </w:r>
    </w:p>
    <w:p w:rsidR="00CA5BF0" w:rsidRDefault="00BA257B">
      <w:pPr>
        <w:pStyle w:val="Akapitzlist"/>
        <w:numPr>
          <w:ilvl w:val="0"/>
          <w:numId w:val="2"/>
        </w:numPr>
        <w:spacing w:after="0"/>
        <w:ind w:left="993" w:hanging="19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reklamy lub elementy planowane do namalowania (np. na karoserii) – w postaci projektu wraz z wizualizacją ich umieszczenia,</w:t>
      </w:r>
    </w:p>
    <w:p w:rsidR="00CA5BF0" w:rsidRDefault="00BA257B">
      <w:pPr>
        <w:pStyle w:val="Akapitzlist"/>
        <w:numPr>
          <w:ilvl w:val="0"/>
          <w:numId w:val="7"/>
        </w:num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umieszczenie każdego elementu w lub na pojeździe, także wymienionego </w:t>
      </w:r>
      <w:r>
        <w:rPr>
          <w:rFonts w:ascii="Arial" w:eastAsia="MS Mincho" w:hAnsi="Arial" w:cs="Arial"/>
        </w:rPr>
        <w:br/>
        <w:t>w niniejszym Załączniku, jest dozwolone po pisemnej akceptacji</w:t>
      </w:r>
      <w:r>
        <w:rPr>
          <w:rFonts w:ascii="Arial" w:eastAsia="MS Mincho" w:hAnsi="Arial" w:cs="Arial"/>
        </w:rPr>
        <w:t xml:space="preserve"> PKM przedstawionego wzoru.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PKM zastrzega, że może wskazać terminy wymiany poszczególnych elementów identyfikacji wizualnej we wszystkich pojazdach wykorzystywanych do realizacji Umowy.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Kolor pojazdu:</w:t>
      </w:r>
    </w:p>
    <w:p w:rsidR="00CA5BF0" w:rsidRDefault="00BA257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pojazdy wyprodukowane po 01.01.2022 roku muszą mieć kol</w:t>
      </w:r>
      <w:r>
        <w:rPr>
          <w:rFonts w:ascii="Arial" w:eastAsia="MS Mincho" w:hAnsi="Arial" w:cs="Arial"/>
        </w:rPr>
        <w:t>orystykę poszyć zewnętrznych w kolorze żółtym [RAL 1018],</w:t>
      </w:r>
    </w:p>
    <w:p w:rsidR="00CA5BF0" w:rsidRDefault="00BA257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>odstępstwa od zasady opisanej w lit. a) mogą mieć miejsce w sytuacjach szczególnych, jak np. organizacja komunikacji zastępczej za tramwaj, zabezpieczenie komunikacyjne imprez masowych, uruchomienie</w:t>
      </w:r>
      <w:r>
        <w:rPr>
          <w:rFonts w:ascii="Arial" w:eastAsia="MS Mincho" w:hAnsi="Arial" w:cs="Arial"/>
        </w:rPr>
        <w:t xml:space="preserve"> nowego połączenia w trybie pilnym (krótki okres do rozpoczęcia realizacji) itp. Odstępstwa te są dopuszczalne tylko po uzyskaniu pisemnej zgody PKM,</w:t>
      </w:r>
    </w:p>
    <w:p w:rsidR="00CA5BF0" w:rsidRDefault="00BA257B">
      <w:pPr>
        <w:pStyle w:val="Akapitzlist"/>
        <w:numPr>
          <w:ilvl w:val="0"/>
          <w:numId w:val="5"/>
        </w:num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umieszczanie jakichkolwiek oznaczeń </w:t>
      </w:r>
      <w:proofErr w:type="spellStart"/>
      <w:r>
        <w:rPr>
          <w:rFonts w:ascii="Arial" w:eastAsia="MS Mincho" w:hAnsi="Arial" w:cs="Arial"/>
        </w:rPr>
        <w:t>całopojazdowych</w:t>
      </w:r>
      <w:proofErr w:type="spellEnd"/>
      <w:r>
        <w:rPr>
          <w:rFonts w:ascii="Arial" w:eastAsia="MS Mincho" w:hAnsi="Arial" w:cs="Arial"/>
        </w:rPr>
        <w:t xml:space="preserve"> wymaga zgody PKM.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Logotypy:</w:t>
      </w:r>
    </w:p>
    <w:p w:rsidR="00CA5BF0" w:rsidRDefault="00BA257B">
      <w:pPr>
        <w:pStyle w:val="Akapitzlist"/>
        <w:widowControl w:val="0"/>
        <w:numPr>
          <w:ilvl w:val="0"/>
          <w:numId w:val="6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MS Mincho" w:hAnsi="Arial" w:cs="Arial"/>
        </w:rPr>
        <w:t>pojazdy muszą być oznaczon</w:t>
      </w:r>
      <w:r>
        <w:rPr>
          <w:rFonts w:ascii="Arial" w:eastAsia="MS Mincho" w:hAnsi="Arial" w:cs="Arial"/>
        </w:rPr>
        <w:t>e logotypami wskazanymi przez PKM i umieszczonymi w postaci nalepek na szybach lub w innych wskazanych miejscach, w tym na poszyciu zewnętrznym pojazdu,</w:t>
      </w:r>
    </w:p>
    <w:p w:rsidR="00CA5BF0" w:rsidRDefault="00BA257B">
      <w:pPr>
        <w:pStyle w:val="Akapitzlist"/>
        <w:numPr>
          <w:ilvl w:val="0"/>
          <w:numId w:val="6"/>
        </w:numPr>
        <w:spacing w:after="0"/>
        <w:jc w:val="both"/>
        <w:rPr>
          <w:rFonts w:ascii="Arial" w:eastAsia="MS Mincho" w:hAnsi="Arial" w:cs="Arial"/>
        </w:rPr>
      </w:pPr>
      <w:r>
        <w:rPr>
          <w:rFonts w:ascii="Arial" w:eastAsia="MS Mincho" w:hAnsi="Arial" w:cs="Arial"/>
        </w:rPr>
        <w:t xml:space="preserve">wyklejenie lub namalowanie logotypów, zgodnie ze wzorem opisanym przez PKM, leży po stronie </w:t>
      </w:r>
      <w:r>
        <w:rPr>
          <w:rFonts w:ascii="Arial" w:eastAsia="MS Mincho" w:hAnsi="Arial" w:cs="Arial"/>
        </w:rPr>
        <w:t>Podwykon</w:t>
      </w:r>
      <w:r>
        <w:rPr>
          <w:rFonts w:ascii="Arial" w:eastAsia="MS Mincho" w:hAnsi="Arial" w:cs="Arial"/>
        </w:rPr>
        <w:t>awc</w:t>
      </w:r>
      <w:r>
        <w:rPr>
          <w:rFonts w:ascii="Arial" w:eastAsia="MS Mincho" w:hAnsi="Arial" w:cs="Arial"/>
        </w:rPr>
        <w:t>y.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Numery taborowe:</w:t>
      </w:r>
    </w:p>
    <w:p w:rsidR="00CA5BF0" w:rsidRDefault="00BA257B">
      <w:pPr>
        <w:pStyle w:val="Akapitzlist"/>
        <w:widowControl w:val="0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lastRenderedPageBreak/>
        <w:t>numer taborowy składa się z maksymalnie siedmiu cyfr,</w:t>
      </w:r>
    </w:p>
    <w:p w:rsidR="00CA5BF0" w:rsidRDefault="00BA257B">
      <w:pPr>
        <w:pStyle w:val="Akapitzlist"/>
        <w:widowControl w:val="0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trzy pierwsze cyfry numeru taborowego nadaje PKM w porozumieniu z ZTM,</w:t>
      </w:r>
    </w:p>
    <w:p w:rsidR="00CA5BF0" w:rsidRDefault="00BA257B">
      <w:pPr>
        <w:pStyle w:val="Akapitzlist"/>
        <w:widowControl w:val="0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 xml:space="preserve">kolejne cyfry numeru taborowego nadaje </w:t>
      </w:r>
      <w:r>
        <w:rPr>
          <w:rFonts w:ascii="Arial" w:eastAsiaTheme="minorHAnsi" w:hAnsi="Arial" w:cs="Arial"/>
        </w:rPr>
        <w:t>Podwykon</w:t>
      </w:r>
      <w:r>
        <w:rPr>
          <w:rFonts w:ascii="Arial" w:hAnsi="Arial" w:cs="Arial"/>
        </w:rPr>
        <w:t>awca,</w:t>
      </w:r>
    </w:p>
    <w:p w:rsidR="00CA5BF0" w:rsidRDefault="00BA257B">
      <w:pPr>
        <w:pStyle w:val="Akapitzlist"/>
        <w:widowControl w:val="0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PKM w porozumieniu z ZTM zastrzega sobie prawo do zmiany n</w:t>
      </w:r>
      <w:r>
        <w:rPr>
          <w:rFonts w:ascii="Arial" w:hAnsi="Arial" w:cs="Arial"/>
        </w:rPr>
        <w:t>umeracji taboru w trakcie trwania Umowy,</w:t>
      </w:r>
    </w:p>
    <w:p w:rsidR="00CA5BF0" w:rsidRDefault="00BA257B">
      <w:pPr>
        <w:pStyle w:val="Akapitzlist"/>
        <w:widowControl w:val="0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</w:rPr>
        <w:t>dokładne umiejscowienie, wymiary, kolorystykę i sposób umieszczenia wszystkich numerów taborowych określa PKM i ZTM.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Informacje o projektach Unii Europejskiej:</w:t>
      </w:r>
    </w:p>
    <w:p w:rsidR="00CA5BF0" w:rsidRDefault="00BA257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 się umieszczenie wymaganych odrębnymi </w:t>
      </w:r>
      <w:r>
        <w:rPr>
          <w:rFonts w:ascii="Arial" w:hAnsi="Arial" w:cs="Arial"/>
        </w:rPr>
        <w:t>przepisami informacji o projektach unijnych,</w:t>
      </w:r>
    </w:p>
    <w:p w:rsidR="00CA5BF0" w:rsidRDefault="00BA257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wielkość, ilość i standard wykonania umieszczonej informacji wynika z wytycznych danego programu operacyjnego lub warunków konkursu,</w:t>
      </w:r>
    </w:p>
    <w:p w:rsidR="00CA5BF0" w:rsidRDefault="00BA257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informacje muszą być umieszczane na przeźroczystej folii, chyba że wynika inac</w:t>
      </w:r>
      <w:r>
        <w:rPr>
          <w:rFonts w:ascii="Arial" w:hAnsi="Arial" w:cs="Arial"/>
        </w:rPr>
        <w:t>zej ze wskazań dotyczących konkretnego projektu,</w:t>
      </w:r>
    </w:p>
    <w:p w:rsidR="00CA5BF0" w:rsidRDefault="00BA257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dopuszczalne jest wyłącznie umieszczenie informacji na szybie, wzdłuż dolnej krawędzi okna, po stronie prawej pojazdu (od strony drzwi), o ile wytyczne danego programu lub warunki konkursu nie stanowią inacz</w:t>
      </w:r>
      <w:r>
        <w:rPr>
          <w:rFonts w:ascii="Arial" w:hAnsi="Arial" w:cs="Arial"/>
        </w:rPr>
        <w:t>ej,</w:t>
      </w:r>
    </w:p>
    <w:p w:rsidR="00CA5BF0" w:rsidRDefault="00BA257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nie może zasłaniać wymaganych przez PKM logotypów,</w:t>
      </w:r>
    </w:p>
    <w:p w:rsidR="00CA5BF0" w:rsidRDefault="00BA257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informacja nie może utrudniać pasażerom widoczności.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Kolorystyka wnętrza pojazdu:</w:t>
      </w:r>
    </w:p>
    <w:p w:rsidR="00CA5BF0" w:rsidRDefault="00BA257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ustala się żółty kolor poręczy w pojazdach [RAL1018],</w:t>
      </w:r>
    </w:p>
    <w:p w:rsidR="00CA5BF0" w:rsidRDefault="00BA257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zabudowa podsufitowa, ściany boczne, podłoga, </w:t>
      </w:r>
      <w:r>
        <w:rPr>
          <w:rFonts w:ascii="Arial" w:hAnsi="Arial" w:cs="Arial"/>
          <w:bCs/>
        </w:rPr>
        <w:t>konstrukcja siedzeń oraz inne elementy wyposażenia wnętrza pojazdu muszą być wykonane w odcieniach szarości,</w:t>
      </w:r>
    </w:p>
    <w:p w:rsidR="00CA5BF0" w:rsidRDefault="00BA257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tapicerka w pojazdach fabrycznie nowych, pojazdach wprowadzanych do ruchu po zawarciu Umowy oraz w przypadku wymiany tapicerki w pojeździe musi być</w:t>
      </w:r>
      <w:r>
        <w:rPr>
          <w:rFonts w:ascii="Arial" w:hAnsi="Arial" w:cs="Arial"/>
          <w:bCs/>
        </w:rPr>
        <w:t xml:space="preserve"> zgodna z normami przewidzianymi przepisami prawa, a kolor uzgodniony z PKM. 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Regulaminy, Taryfa, reklama:</w:t>
      </w:r>
    </w:p>
    <w:p w:rsidR="00CA5BF0" w:rsidRDefault="00BA257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wymaga się, aby od 1 stycznia 2023 r. Regulaminy, Taryfa oraz reklamy wewnętrzne umieszczane były w ramkach. </w:t>
      </w:r>
      <w:r>
        <w:rPr>
          <w:rFonts w:ascii="Arial" w:eastAsiaTheme="minorHAnsi" w:hAnsi="Arial" w:cs="Arial"/>
          <w:bCs/>
        </w:rPr>
        <w:t>Podwykon</w:t>
      </w:r>
      <w:r>
        <w:rPr>
          <w:rFonts w:ascii="Arial" w:hAnsi="Arial" w:cs="Arial"/>
          <w:bCs/>
        </w:rPr>
        <w:t>awca na własny koszt dokonuje za</w:t>
      </w:r>
      <w:r>
        <w:rPr>
          <w:rFonts w:ascii="Arial" w:hAnsi="Arial" w:cs="Arial"/>
          <w:bCs/>
        </w:rPr>
        <w:t xml:space="preserve">kupu, montażu i utrzymania ramek. Ramki muszą być umieszczone </w:t>
      </w:r>
      <w:r>
        <w:rPr>
          <w:rFonts w:ascii="Arial" w:hAnsi="Arial" w:cs="Arial"/>
          <w:lang w:eastAsia="ar-SA"/>
        </w:rPr>
        <w:t>na tylnej ścianie wygrodzenia kabiny kierującego pojazdem,</w:t>
      </w:r>
    </w:p>
    <w:p w:rsidR="00CA5BF0" w:rsidRDefault="00BA257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parametry ramki:</w:t>
      </w:r>
    </w:p>
    <w:p w:rsidR="00CA5BF0" w:rsidRDefault="00BA257B">
      <w:pPr>
        <w:pStyle w:val="Akapitzlist"/>
        <w:numPr>
          <w:ilvl w:val="0"/>
          <w:numId w:val="2"/>
        </w:numPr>
        <w:spacing w:after="0"/>
        <w:ind w:left="993" w:hanging="19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Regulaminy i Taryfę:</w:t>
      </w:r>
    </w:p>
    <w:p w:rsidR="00CA5BF0" w:rsidRDefault="00BA257B">
      <w:pPr>
        <w:pStyle w:val="Akapitzlist"/>
        <w:numPr>
          <w:ilvl w:val="0"/>
          <w:numId w:val="3"/>
        </w:numPr>
        <w:tabs>
          <w:tab w:val="left" w:pos="1560"/>
        </w:tabs>
        <w:spacing w:after="0"/>
        <w:ind w:left="1560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pole informacji formatu A2: umieszczone pionowo, dzielone tak, aby możliwe było umieszczenie w</w:t>
      </w:r>
      <w:r>
        <w:rPr>
          <w:rFonts w:ascii="Arial" w:hAnsi="Arial" w:cs="Arial"/>
          <w:bCs/>
        </w:rPr>
        <w:t xml:space="preserve"> niej dwóch informacji A3 (drukowanych w formacie poziomym), lub </w:t>
      </w:r>
    </w:p>
    <w:p w:rsidR="00CA5BF0" w:rsidRDefault="00BA257B">
      <w:pPr>
        <w:pStyle w:val="Akapitzlist"/>
        <w:numPr>
          <w:ilvl w:val="0"/>
          <w:numId w:val="3"/>
        </w:numPr>
        <w:tabs>
          <w:tab w:val="left" w:pos="1560"/>
        </w:tabs>
        <w:spacing w:after="0"/>
        <w:ind w:left="1560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dwa pola informacji formatu A3: muszą być umieszczone jedna nad drugą. Wyłącznie w uzasadnionych przypadkach ramki mogą być umieszczone obok siebie,</w:t>
      </w:r>
    </w:p>
    <w:p w:rsidR="00CA5BF0" w:rsidRDefault="00BA257B">
      <w:pPr>
        <w:pStyle w:val="Akapitzlist"/>
        <w:numPr>
          <w:ilvl w:val="0"/>
          <w:numId w:val="3"/>
        </w:numPr>
        <w:tabs>
          <w:tab w:val="left" w:pos="1560"/>
        </w:tabs>
        <w:spacing w:after="0"/>
        <w:ind w:left="1560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obramowanie ramki nie powinno być szersze</w:t>
      </w:r>
      <w:r>
        <w:rPr>
          <w:rFonts w:ascii="Arial" w:hAnsi="Arial" w:cs="Arial"/>
          <w:bCs/>
        </w:rPr>
        <w:t xml:space="preserve"> niż 2 cm, </w:t>
      </w:r>
    </w:p>
    <w:p w:rsidR="00CA5BF0" w:rsidRDefault="00BA257B">
      <w:pPr>
        <w:pStyle w:val="Akapitzlist"/>
        <w:numPr>
          <w:ilvl w:val="0"/>
          <w:numId w:val="3"/>
        </w:numPr>
        <w:tabs>
          <w:tab w:val="left" w:pos="1560"/>
        </w:tabs>
        <w:spacing w:after="0"/>
        <w:ind w:left="1560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obramowanie ramki musi być w kolorze szarym lub srebrnym,</w:t>
      </w:r>
    </w:p>
    <w:p w:rsidR="00CA5BF0" w:rsidRDefault="00BA257B">
      <w:pPr>
        <w:pStyle w:val="Akapitzlist"/>
        <w:numPr>
          <w:ilvl w:val="0"/>
          <w:numId w:val="2"/>
        </w:numPr>
        <w:spacing w:after="0"/>
        <w:ind w:left="993" w:hanging="19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na reklamy 4 szt.:</w:t>
      </w:r>
    </w:p>
    <w:p w:rsidR="00CA5BF0" w:rsidRDefault="00BA257B">
      <w:pPr>
        <w:pStyle w:val="Akapitzlist"/>
        <w:numPr>
          <w:ilvl w:val="0"/>
          <w:numId w:val="3"/>
        </w:numPr>
        <w:tabs>
          <w:tab w:val="left" w:pos="1560"/>
        </w:tabs>
        <w:spacing w:after="0"/>
        <w:ind w:left="1560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pole informacji formatu A3: umieszczone pionowo wewnątrz pojazdów, wykorzystywane przez ZTM do umieszczania informacji oraz reklam, </w:t>
      </w:r>
      <w:r>
        <w:rPr>
          <w:rFonts w:ascii="Arial" w:hAnsi="Arial" w:cs="Arial"/>
          <w:bCs/>
        </w:rPr>
        <w:br/>
        <w:t>z zastrzeżeniem lit. f),</w:t>
      </w:r>
    </w:p>
    <w:p w:rsidR="00CA5BF0" w:rsidRDefault="00BA257B">
      <w:pPr>
        <w:pStyle w:val="Akapitzlist"/>
        <w:numPr>
          <w:ilvl w:val="0"/>
          <w:numId w:val="3"/>
        </w:numPr>
        <w:tabs>
          <w:tab w:val="left" w:pos="1560"/>
        </w:tabs>
        <w:spacing w:after="0"/>
        <w:ind w:left="1560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Podwykon</w:t>
      </w:r>
      <w:r>
        <w:rPr>
          <w:rFonts w:ascii="Arial" w:hAnsi="Arial" w:cs="Arial"/>
          <w:bCs/>
        </w:rPr>
        <w:t>awcy nie przysługuje z tego tytułu dodatkowe wynagrodzenie,</w:t>
      </w:r>
    </w:p>
    <w:p w:rsidR="00CA5BF0" w:rsidRDefault="00BA257B">
      <w:pPr>
        <w:pStyle w:val="Akapitzlist"/>
        <w:numPr>
          <w:ilvl w:val="0"/>
          <w:numId w:val="3"/>
        </w:numPr>
        <w:tabs>
          <w:tab w:val="left" w:pos="1560"/>
        </w:tabs>
        <w:spacing w:after="0"/>
        <w:ind w:left="1560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obramowanie ramki nie może być szersze niż 2 cm, </w:t>
      </w:r>
    </w:p>
    <w:p w:rsidR="00CA5BF0" w:rsidRDefault="00BA257B">
      <w:pPr>
        <w:pStyle w:val="Akapitzlist"/>
        <w:numPr>
          <w:ilvl w:val="0"/>
          <w:numId w:val="3"/>
        </w:numPr>
        <w:tabs>
          <w:tab w:val="left" w:pos="1560"/>
        </w:tabs>
        <w:spacing w:after="0"/>
        <w:ind w:left="1560" w:hanging="284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>obramowanie ramki musi być w kolorze szarym lub srebrnym,</w:t>
      </w:r>
    </w:p>
    <w:p w:rsidR="00CA5BF0" w:rsidRDefault="00BA257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szczegółowa</w:t>
      </w:r>
      <w:r>
        <w:rPr>
          <w:rFonts w:ascii="Arial" w:hAnsi="Arial" w:cs="Arial"/>
          <w:shd w:val="clear" w:color="auto" w:fill="FFFFFF"/>
        </w:rPr>
        <w:t xml:space="preserve"> lokalizacja ramek podlega uzgodnieniom z PKM i ZTM,</w:t>
      </w:r>
    </w:p>
    <w:p w:rsidR="00CA5BF0" w:rsidRDefault="00BA257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uzasadnionych przypadk</w:t>
      </w:r>
      <w:r>
        <w:rPr>
          <w:rFonts w:ascii="Arial" w:hAnsi="Arial" w:cs="Arial"/>
          <w:bCs/>
        </w:rPr>
        <w:t>ach, wyłącznie za zgodą PKM i ZTM, Regulaminy i Taryfa mogą być umieszczone w formie nalepki w pojeździe:</w:t>
      </w:r>
    </w:p>
    <w:p w:rsidR="00CA5BF0" w:rsidRDefault="00BA257B">
      <w:pPr>
        <w:pStyle w:val="Akapitzlist"/>
        <w:numPr>
          <w:ilvl w:val="0"/>
          <w:numId w:val="2"/>
        </w:numPr>
        <w:spacing w:after="0"/>
        <w:ind w:left="993" w:hanging="19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lang w:eastAsia="ar-SA"/>
        </w:rPr>
        <w:t>na tylnej ścianie wygrodzenia kabiny kierującego pojazdem</w:t>
      </w:r>
      <w:r>
        <w:rPr>
          <w:rFonts w:ascii="Arial" w:hAnsi="Arial" w:cs="Arial"/>
          <w:bCs/>
        </w:rPr>
        <w:t>, na środku powierzchni,</w:t>
      </w:r>
    </w:p>
    <w:p w:rsidR="00CA5BF0" w:rsidRDefault="00BA257B">
      <w:pPr>
        <w:pStyle w:val="Akapitzlist"/>
        <w:numPr>
          <w:ilvl w:val="0"/>
          <w:numId w:val="2"/>
        </w:numPr>
        <w:spacing w:after="0"/>
        <w:ind w:left="993" w:hanging="199"/>
        <w:contextualSpacing w:val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 przypadku elementów konstrukcyjnych uniemożliwiających wyklejanie </w:t>
      </w:r>
      <w:r>
        <w:rPr>
          <w:rFonts w:ascii="Arial" w:hAnsi="Arial" w:cs="Arial"/>
          <w:bCs/>
        </w:rPr>
        <w:t>informacji w wyżej opisany sposób, nalepki mogą zostać przyklejone na pierwszej szybie za kabiną kierującego pojazdem,</w:t>
      </w:r>
    </w:p>
    <w:p w:rsidR="00CA5BF0" w:rsidRDefault="00BA257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Regulaminy i Taryfy muszą być umieszczone w sposób estetyczny. Zakazuje się umieszczania informacji warstwami, na niedokładnie usunięte w</w:t>
      </w:r>
      <w:r>
        <w:rPr>
          <w:rFonts w:ascii="Arial" w:hAnsi="Arial" w:cs="Arial"/>
          <w:bCs/>
        </w:rPr>
        <w:t xml:space="preserve">cześniejsze informacje </w:t>
      </w:r>
      <w:r>
        <w:rPr>
          <w:rFonts w:ascii="Arial" w:hAnsi="Arial" w:cs="Arial"/>
          <w:bCs/>
        </w:rPr>
        <w:br/>
        <w:t>i w uszkodzonych ramkach,</w:t>
      </w:r>
    </w:p>
    <w:p w:rsidR="00CA5BF0" w:rsidRDefault="00BA257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autobusach zakupionych przez Podwykonawcę w ramach realizacji projektu dofinansowanego ze środków zewnętrznych (np. środków z Unii Europejskiej) PKM i ZTM nie będą umieszczać w okresie trwałości tego proj</w:t>
      </w:r>
      <w:r>
        <w:rPr>
          <w:rFonts w:ascii="Arial" w:hAnsi="Arial" w:cs="Arial"/>
          <w:bCs/>
        </w:rPr>
        <w:t>ektu reklam o charakterze komercyjnym (odpłatnym).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Reklamy oraz informacje dodatkowe:</w:t>
      </w:r>
    </w:p>
    <w:p w:rsidR="00CA5BF0" w:rsidRDefault="00BA257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bCs/>
        </w:rPr>
        <w:t>Podwykon</w:t>
      </w:r>
      <w:r>
        <w:rPr>
          <w:rFonts w:ascii="Arial" w:hAnsi="Arial" w:cs="Arial"/>
          <w:bCs/>
        </w:rPr>
        <w:t xml:space="preserve">awca może umieszczać reklamy wyłącznie na zewnątrz pojazdów (oklejenie zewnętrzne). Dopuszcza się tylko takie oklejenie, które nie zasłania logotypów wymaganych </w:t>
      </w:r>
      <w:r>
        <w:rPr>
          <w:rFonts w:ascii="Arial" w:hAnsi="Arial" w:cs="Arial"/>
          <w:bCs/>
        </w:rPr>
        <w:t>przez ZTM. Jakiekolwiek odstępstwa od powyższej zasady możliwe są po pisemnej akceptacji PKM,</w:t>
      </w:r>
    </w:p>
    <w:p w:rsidR="00CA5BF0" w:rsidRDefault="00BA257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 zgodą PKM dopuszczalne jest umieszczenie reklamy na tyle pojazdu (tzw. </w:t>
      </w:r>
      <w:proofErr w:type="spellStart"/>
      <w:r>
        <w:rPr>
          <w:rFonts w:ascii="Arial" w:hAnsi="Arial" w:cs="Arial"/>
          <w:bCs/>
        </w:rPr>
        <w:t>fullback</w:t>
      </w:r>
      <w:proofErr w:type="spellEnd"/>
      <w:r>
        <w:rPr>
          <w:rFonts w:ascii="Arial" w:hAnsi="Arial" w:cs="Arial"/>
          <w:bCs/>
        </w:rPr>
        <w:t>) oraz na bokach pojazdu. Zakazuje się wyklejania powierzchni okien z boków poja</w:t>
      </w:r>
      <w:r>
        <w:rPr>
          <w:rFonts w:ascii="Arial" w:hAnsi="Arial" w:cs="Arial"/>
          <w:bCs/>
        </w:rPr>
        <w:t>zdu oraz drzwi,</w:t>
      </w:r>
    </w:p>
    <w:p w:rsidR="00CA5BF0" w:rsidRDefault="00BA257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 przypadkach udostępniania dla PKM powierzchni na pojazdach, każdorazowo warunki udostępniania będą określone odrębną umową,</w:t>
      </w:r>
    </w:p>
    <w:p w:rsidR="00CA5BF0" w:rsidRDefault="00BA257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eastAsiaTheme="minorHAnsi" w:hAnsi="Arial" w:cs="Arial"/>
          <w:bCs/>
        </w:rPr>
        <w:t>Podwykon</w:t>
      </w:r>
      <w:r>
        <w:rPr>
          <w:rFonts w:ascii="Arial" w:hAnsi="Arial" w:cs="Arial"/>
          <w:bCs/>
        </w:rPr>
        <w:t>awca zobowiązany jest do niezwłocznego usuwania reklam oraz informacji nieaktualnych i niezgodnych z posta</w:t>
      </w:r>
      <w:r>
        <w:rPr>
          <w:rFonts w:ascii="Arial" w:hAnsi="Arial" w:cs="Arial"/>
          <w:bCs/>
        </w:rPr>
        <w:t>nowieniami Umowy.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Treści reklam:</w:t>
      </w:r>
    </w:p>
    <w:p w:rsidR="00CA5BF0" w:rsidRDefault="00BA257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Podwykonawca ponosi odpowiedzialność za treść i formę zamieszczonej reklamy,</w:t>
      </w:r>
    </w:p>
    <w:p w:rsidR="00CA5BF0" w:rsidRDefault="00BA257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reklamy zamieszczane na pojazdach nie mogą być niezgodne z przepisami prawa, </w:t>
      </w:r>
      <w:r>
        <w:rPr>
          <w:rFonts w:ascii="Arial" w:hAnsi="Arial" w:cs="Arial"/>
          <w:bCs/>
        </w:rPr>
        <w:br/>
        <w:t xml:space="preserve">w szczególności naruszać dóbr osobistych, stanowić czyn nieuczciwej </w:t>
      </w:r>
      <w:r>
        <w:rPr>
          <w:rFonts w:ascii="Arial" w:hAnsi="Arial" w:cs="Arial"/>
          <w:bCs/>
        </w:rPr>
        <w:t>konkurencji, a także ze względu na treść albo formę godzić w dobre obyczaje,</w:t>
      </w:r>
    </w:p>
    <w:p w:rsidR="00CA5BF0" w:rsidRDefault="00BA257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zamieszczane reklamy nie mogą godzić w uzasadnione interesy Zamawiającego lub ZTM. 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ZTM zastrzega sobie prawo ustalenia jednolitego wyglądu piktogramów i oznaczeń umieszczanych w </w:t>
      </w:r>
      <w:r>
        <w:rPr>
          <w:rFonts w:ascii="Arial" w:eastAsia="Times New Roman" w:hAnsi="Arial" w:cs="Arial"/>
          <w:lang w:eastAsia="pl-PL"/>
        </w:rPr>
        <w:t>pojazdach, a także miejsc ich lokalizacji.</w:t>
      </w:r>
    </w:p>
    <w:p w:rsidR="00CA5BF0" w:rsidRDefault="00BA257B">
      <w:pPr>
        <w:pStyle w:val="Akapitzlist"/>
        <w:widowControl w:val="0"/>
        <w:numPr>
          <w:ilvl w:val="0"/>
          <w:numId w:val="4"/>
        </w:numPr>
        <w:spacing w:after="0"/>
        <w:ind w:left="426" w:hanging="426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Nie dopuszcza się umieszczania w kabinie żadnych przedmiotów, ozdób bądź jakichkolwiek elementów niezwiązanych z wyposażeniem pojazdu i realizacją Usługi.</w:t>
      </w:r>
    </w:p>
    <w:sectPr w:rsidR="00CA5BF0" w:rsidSect="00BA257B">
      <w:footerReference w:type="default" r:id="rId8"/>
      <w:pgSz w:w="11906" w:h="16838"/>
      <w:pgMar w:top="1417" w:right="1417" w:bottom="1417" w:left="1417" w:header="0" w:footer="708" w:gutter="0"/>
      <w:pgNumType w:start="63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BF0" w:rsidRDefault="00CA5BF0" w:rsidP="00CA5BF0">
      <w:pPr>
        <w:spacing w:after="0" w:line="240" w:lineRule="auto"/>
      </w:pPr>
      <w:r>
        <w:separator/>
      </w:r>
    </w:p>
  </w:endnote>
  <w:endnote w:type="continuationSeparator" w:id="0">
    <w:p w:rsidR="00CA5BF0" w:rsidRDefault="00CA5BF0" w:rsidP="00CA5B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2175414"/>
      <w:docPartObj>
        <w:docPartGallery w:val="Page Numbers (Bottom of Page)"/>
        <w:docPartUnique/>
      </w:docPartObj>
    </w:sdtPr>
    <w:sdtContent>
      <w:p w:rsidR="00CA5BF0" w:rsidRDefault="00CA5BF0">
        <w:pPr>
          <w:pStyle w:val="Footer"/>
          <w:jc w:val="center"/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BA257B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BA257B">
          <w:rPr>
            <w:rFonts w:ascii="Arial" w:hAnsi="Arial" w:cs="Arial"/>
            <w:noProof/>
            <w:sz w:val="20"/>
            <w:szCs w:val="20"/>
          </w:rPr>
          <w:t>65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CA5BF0" w:rsidRDefault="00CA5BF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BF0" w:rsidRDefault="00CA5BF0" w:rsidP="00CA5BF0">
      <w:pPr>
        <w:spacing w:after="0" w:line="240" w:lineRule="auto"/>
      </w:pPr>
      <w:r>
        <w:separator/>
      </w:r>
    </w:p>
  </w:footnote>
  <w:footnote w:type="continuationSeparator" w:id="0">
    <w:p w:rsidR="00CA5BF0" w:rsidRDefault="00CA5BF0" w:rsidP="00CA5B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E5816"/>
    <w:multiLevelType w:val="multilevel"/>
    <w:tmpl w:val="089CBBF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103A3FB9"/>
    <w:multiLevelType w:val="multilevel"/>
    <w:tmpl w:val="DD94215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10647DEA"/>
    <w:multiLevelType w:val="multilevel"/>
    <w:tmpl w:val="A87040A6"/>
    <w:lvl w:ilvl="0">
      <w:start w:val="1"/>
      <w:numFmt w:val="bullet"/>
      <w:lvlText w:val=""/>
      <w:lvlJc w:val="left"/>
      <w:pPr>
        <w:tabs>
          <w:tab w:val="num" w:pos="0"/>
        </w:tabs>
        <w:ind w:left="1154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7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9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1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3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5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7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9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14" w:hanging="180"/>
      </w:pPr>
    </w:lvl>
  </w:abstractNum>
  <w:abstractNum w:abstractNumId="3">
    <w:nsid w:val="27FB746E"/>
    <w:multiLevelType w:val="multilevel"/>
    <w:tmpl w:val="0756D54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28D10858"/>
    <w:multiLevelType w:val="multilevel"/>
    <w:tmpl w:val="9DE27CD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334222D3"/>
    <w:multiLevelType w:val="multilevel"/>
    <w:tmpl w:val="45005C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40FD67EA"/>
    <w:multiLevelType w:val="multilevel"/>
    <w:tmpl w:val="B762B2B2"/>
    <w:lvl w:ilvl="0">
      <w:start w:val="1"/>
      <w:numFmt w:val="bullet"/>
      <w:lvlText w:val=""/>
      <w:lvlJc w:val="left"/>
      <w:pPr>
        <w:tabs>
          <w:tab w:val="num" w:pos="0"/>
        </w:tabs>
        <w:ind w:left="187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59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31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03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75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47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19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1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634" w:hanging="360"/>
      </w:pPr>
      <w:rPr>
        <w:rFonts w:ascii="Wingdings" w:hAnsi="Wingdings" w:cs="Wingdings" w:hint="default"/>
      </w:rPr>
    </w:lvl>
  </w:abstractNum>
  <w:abstractNum w:abstractNumId="7">
    <w:nsid w:val="471F43E4"/>
    <w:multiLevelType w:val="multilevel"/>
    <w:tmpl w:val="65EECF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593103A3"/>
    <w:multiLevelType w:val="multilevel"/>
    <w:tmpl w:val="6A84AC30"/>
    <w:lvl w:ilvl="0">
      <w:start w:val="1"/>
      <w:numFmt w:val="bullet"/>
      <w:lvlText w:val="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9">
    <w:nsid w:val="5B73236B"/>
    <w:multiLevelType w:val="multilevel"/>
    <w:tmpl w:val="00446A4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>
    <w:nsid w:val="70373EAB"/>
    <w:multiLevelType w:val="multilevel"/>
    <w:tmpl w:val="BABA2A5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77BD57A8"/>
    <w:multiLevelType w:val="multilevel"/>
    <w:tmpl w:val="2BFE2D2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7A7952E2"/>
    <w:multiLevelType w:val="multilevel"/>
    <w:tmpl w:val="F3FA4A4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>
    <w:nsid w:val="7C4C3F11"/>
    <w:multiLevelType w:val="multilevel"/>
    <w:tmpl w:val="6FF20E5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3"/>
  </w:num>
  <w:num w:numId="5">
    <w:abstractNumId w:val="3"/>
  </w:num>
  <w:num w:numId="6">
    <w:abstractNumId w:val="7"/>
  </w:num>
  <w:num w:numId="7">
    <w:abstractNumId w:val="10"/>
  </w:num>
  <w:num w:numId="8">
    <w:abstractNumId w:val="12"/>
  </w:num>
  <w:num w:numId="9">
    <w:abstractNumId w:val="1"/>
  </w:num>
  <w:num w:numId="10">
    <w:abstractNumId w:val="11"/>
  </w:num>
  <w:num w:numId="11">
    <w:abstractNumId w:val="9"/>
  </w:num>
  <w:num w:numId="12">
    <w:abstractNumId w:val="4"/>
  </w:num>
  <w:num w:numId="13">
    <w:abstractNumId w:val="0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BF0"/>
    <w:rsid w:val="00BA257B"/>
    <w:rsid w:val="00CA5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273DB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nhideWhenUsed/>
    <w:qFormat/>
    <w:rsid w:val="00827F7C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27F7C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markncl3i2awn">
    <w:name w:val="markncl3i2awn"/>
    <w:basedOn w:val="Domylnaczcionkaakapitu"/>
    <w:qFormat/>
    <w:rsid w:val="00827F7C"/>
  </w:style>
  <w:style w:type="character" w:customStyle="1" w:styleId="TekstprzypisukocowegoZnak">
    <w:name w:val="Tekst przypisu końcowego Znak"/>
    <w:basedOn w:val="Domylnaczcionkaakapitu"/>
    <w:link w:val="EndnoteText"/>
    <w:uiPriority w:val="99"/>
    <w:semiHidden/>
    <w:qFormat/>
    <w:rsid w:val="0044445C"/>
    <w:rPr>
      <w:sz w:val="20"/>
      <w:szCs w:val="20"/>
    </w:rPr>
  </w:style>
  <w:style w:type="character" w:customStyle="1" w:styleId="Zakotwiczenieprzypisukocowego">
    <w:name w:val="Zakotwiczenie przypisu końcowego"/>
    <w:rsid w:val="00CA5BF0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44445C"/>
    <w:rPr>
      <w:vertAlign w:val="superscript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05FE0"/>
    <w:rPr>
      <w:rFonts w:ascii="Arial" w:eastAsia="Times New Roman" w:hAnsi="Arial" w:cs="Arial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C05FE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726EE9"/>
  </w:style>
  <w:style w:type="character" w:customStyle="1" w:styleId="StopkaZnak">
    <w:name w:val="Stopka Znak"/>
    <w:basedOn w:val="Domylnaczcionkaakapitu"/>
    <w:link w:val="Footer"/>
    <w:uiPriority w:val="99"/>
    <w:qFormat/>
    <w:rsid w:val="00726EE9"/>
  </w:style>
  <w:style w:type="character" w:styleId="Wyrnieniedelikatne">
    <w:name w:val="Subtle Emphasis"/>
    <w:basedOn w:val="Domylnaczcionkaakapitu"/>
    <w:uiPriority w:val="19"/>
    <w:qFormat/>
    <w:rsid w:val="00C5559D"/>
    <w:rPr>
      <w:i/>
      <w:iCs/>
      <w:color w:val="404040" w:themeColor="text1" w:themeTint="BF"/>
    </w:rPr>
  </w:style>
  <w:style w:type="paragraph" w:styleId="Nagwek">
    <w:name w:val="header"/>
    <w:basedOn w:val="Normalny"/>
    <w:next w:val="Tekstpodstawowy"/>
    <w:link w:val="NagwekZnak"/>
    <w:qFormat/>
    <w:rsid w:val="00CA5BF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CA5BF0"/>
    <w:pPr>
      <w:spacing w:after="140" w:line="276" w:lineRule="auto"/>
    </w:pPr>
  </w:style>
  <w:style w:type="paragraph" w:styleId="Lista">
    <w:name w:val="List"/>
    <w:basedOn w:val="Tekstpodstawowy"/>
    <w:rsid w:val="00CA5BF0"/>
    <w:rPr>
      <w:rFonts w:cs="Lucida Sans"/>
    </w:rPr>
  </w:style>
  <w:style w:type="paragraph" w:customStyle="1" w:styleId="Caption">
    <w:name w:val="Caption"/>
    <w:basedOn w:val="Normalny"/>
    <w:qFormat/>
    <w:rsid w:val="00CA5BF0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CA5BF0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827F7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27F7C"/>
    <w:pPr>
      <w:widowControl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qFormat/>
    <w:rsid w:val="00827F7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EndnoteText">
    <w:name w:val="Endnote Text"/>
    <w:basedOn w:val="Normalny"/>
    <w:link w:val="TekstprzypisukocowegoZnak"/>
    <w:uiPriority w:val="99"/>
    <w:semiHidden/>
    <w:unhideWhenUsed/>
    <w:rsid w:val="0044445C"/>
    <w:pPr>
      <w:spacing w:after="0"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05FE0"/>
    <w:pPr>
      <w:widowControl/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5F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CA5BF0"/>
  </w:style>
  <w:style w:type="paragraph" w:customStyle="1" w:styleId="Header">
    <w:name w:val="Header"/>
    <w:basedOn w:val="Normalny"/>
    <w:link w:val="NagwekZnak"/>
    <w:uiPriority w:val="99"/>
    <w:unhideWhenUsed/>
    <w:rsid w:val="00726EE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726EE9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8C36F-1D0C-4898-839B-83823993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1047</Words>
  <Characters>6287</Characters>
  <Application>Microsoft Office Word</Application>
  <DocSecurity>0</DocSecurity>
  <Lines>52</Lines>
  <Paragraphs>14</Paragraphs>
  <ScaleCrop>false</ScaleCrop>
  <Company/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Koteras</dc:creator>
  <dc:description/>
  <cp:lastModifiedBy>Edyta Gruchała</cp:lastModifiedBy>
  <cp:revision>19</cp:revision>
  <cp:lastPrinted>2021-09-21T14:57:00Z</cp:lastPrinted>
  <dcterms:created xsi:type="dcterms:W3CDTF">2021-10-04T06:14:00Z</dcterms:created>
  <dcterms:modified xsi:type="dcterms:W3CDTF">2022-02-01T09:00:00Z</dcterms:modified>
  <dc:language>pl-PL</dc:language>
</cp:coreProperties>
</file>