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7D324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79C8B56" w14:textId="1D43FCDC" w:rsidR="005276E1" w:rsidRPr="005276E1" w:rsidRDefault="00DE4D1F" w:rsidP="005276E1">
      <w:pPr>
        <w:spacing w:after="100" w:afterAutospacing="1"/>
        <w:jc w:val="center"/>
        <w:rPr>
          <w:rFonts w:cstheme="minorHAnsi"/>
          <w:sz w:val="24"/>
          <w:szCs w:val="24"/>
        </w:rPr>
      </w:pPr>
      <w:r w:rsidRPr="00DE4D1F">
        <w:rPr>
          <w:rFonts w:ascii="Arial" w:hAnsi="Arial" w:cs="Arial"/>
          <w:b/>
          <w:bCs/>
          <w:sz w:val="24"/>
          <w:szCs w:val="24"/>
        </w:rPr>
        <w:t>Remont pokryw mieszaczy w Zakładzie Produkcji Wody Miedwie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287C8E2B" w:rsidR="008A5958" w:rsidRDefault="003A5BB7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|2|1|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|0|0|.|0|0|-|2|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5958"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3A5BB7">
        <w:rPr>
          <w:rFonts w:ascii="Arial" w:hAnsi="Arial" w:cs="Arial"/>
          <w:sz w:val="22"/>
          <w:szCs w:val="22"/>
        </w:rPr>
        <w:t>oboty budowlane w zakresie budynków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90A1CF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</w:t>
      </w:r>
      <w:r w:rsidR="005950DF">
        <w:rPr>
          <w:rFonts w:ascii="Arial" w:hAnsi="Arial" w:cs="Arial"/>
          <w:sz w:val="24"/>
          <w:szCs w:val="24"/>
        </w:rPr>
        <w:t>2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</w:t>
      </w:r>
      <w:r w:rsidR="005950DF">
        <w:rPr>
          <w:rFonts w:ascii="Arial" w:hAnsi="Arial" w:cs="Arial"/>
          <w:sz w:val="24"/>
          <w:szCs w:val="24"/>
        </w:rPr>
        <w:t>710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1F0772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462DF22E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1F0772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AEEF076" w:rsidR="00C066AB" w:rsidRPr="00234DE0" w:rsidRDefault="00C066AB" w:rsidP="003C11F3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="003068AE" w:rsidRPr="003068AE">
        <w:rPr>
          <w:rFonts w:ascii="Arial" w:hAnsi="Arial" w:cs="Arial"/>
          <w:sz w:val="24"/>
          <w:szCs w:val="24"/>
        </w:rPr>
        <w:t xml:space="preserve">p. </w:t>
      </w:r>
      <w:r w:rsidR="005950DF">
        <w:rPr>
          <w:rFonts w:ascii="Arial" w:hAnsi="Arial" w:cs="Arial"/>
          <w:sz w:val="24"/>
          <w:szCs w:val="24"/>
        </w:rPr>
        <w:t>Agnieszka Skotnicka</w:t>
      </w:r>
      <w:r w:rsidR="003068AE" w:rsidRPr="003068AE">
        <w:rPr>
          <w:rFonts w:ascii="Arial" w:hAnsi="Arial" w:cs="Arial"/>
          <w:sz w:val="24"/>
          <w:szCs w:val="24"/>
        </w:rPr>
        <w:t xml:space="preserve"> – tel. 91 44 </w:t>
      </w:r>
      <w:r w:rsidR="005950DF">
        <w:rPr>
          <w:rFonts w:ascii="Arial" w:hAnsi="Arial" w:cs="Arial"/>
          <w:sz w:val="24"/>
          <w:szCs w:val="24"/>
        </w:rPr>
        <w:t>26 276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8A0FE6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3C12D3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75462897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1F9010C9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74E0A018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86AB7F2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16AC5956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55E7E86C" w14:textId="77777777" w:rsidR="00B1111A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CCC5CB0" w14:textId="77777777" w:rsidR="00B1111A" w:rsidRPr="00B70467" w:rsidRDefault="00B1111A" w:rsidP="00B1111A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382D6D" w:rsidRDefault="005950DF" w:rsidP="00E06614">
      <w:pPr>
        <w:numPr>
          <w:ilvl w:val="0"/>
          <w:numId w:val="53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1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6948BDC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317C9B96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308409E5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22CB49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060623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77777777" w:rsidR="005950DF" w:rsidRPr="00060623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034CFEFE" w14:textId="77777777" w:rsidR="005950DF" w:rsidRPr="00060623" w:rsidRDefault="005950DF" w:rsidP="00E06614">
      <w:pPr>
        <w:numPr>
          <w:ilvl w:val="0"/>
          <w:numId w:val="5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382D6D" w:rsidRDefault="005950DF" w:rsidP="005950DF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382D6D" w:rsidRDefault="005950DF" w:rsidP="00E06614">
      <w:pPr>
        <w:numPr>
          <w:ilvl w:val="0"/>
          <w:numId w:val="5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5950D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DF28ED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</w:t>
      </w:r>
      <w:r w:rsidRPr="00DF28ED">
        <w:rPr>
          <w:rFonts w:ascii="Arial" w:hAnsi="Arial"/>
          <w:b/>
          <w:i/>
          <w:iCs/>
          <w:szCs w:val="24"/>
        </w:rPr>
        <w:t>zawodowej, o ile wynika to z odrębnych przepisów:</w:t>
      </w:r>
    </w:p>
    <w:p w14:paraId="3BEEFD66" w14:textId="77777777" w:rsidR="00545465" w:rsidRPr="00DF28ED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DF28E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D28BD63" w14:textId="77777777" w:rsidR="006D11F4" w:rsidRDefault="00545465" w:rsidP="006D11F4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DF28ED">
        <w:rPr>
          <w:rFonts w:ascii="Arial" w:hAnsi="Arial"/>
          <w:b/>
          <w:i/>
          <w:iCs/>
          <w:szCs w:val="24"/>
        </w:rPr>
        <w:t>sytuacji ekonomicznej lub finansowej:</w:t>
      </w:r>
    </w:p>
    <w:p w14:paraId="6FAACEBD" w14:textId="0848AD12" w:rsidR="00630A5B" w:rsidRPr="00630A5B" w:rsidRDefault="00630A5B" w:rsidP="00630A5B">
      <w:p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30A5B">
        <w:rPr>
          <w:rFonts w:ascii="Arial" w:hAnsi="Arial" w:cs="Arial"/>
          <w:iCs/>
          <w:color w:val="000000" w:themeColor="text1"/>
          <w:sz w:val="24"/>
          <w:szCs w:val="24"/>
        </w:rPr>
        <w:t xml:space="preserve">Zamawiający uzna, że wykonawca znajduje się w sytuacji ekonomicznej lub finansowej zapewniającej należyte wykonanie zamówienia, jeżeli wykonawca wykaże, że </w:t>
      </w:r>
      <w:r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 xml:space="preserve">posiada środki finansowe lub zdolność kredytową w wysokości nie niższej niż </w:t>
      </w:r>
      <w:r w:rsidR="00826F41"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>5</w:t>
      </w:r>
      <w:r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>00 000,00 zł (</w:t>
      </w:r>
      <w:r w:rsidR="00BF7D3E"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>pięćset tysięcy</w:t>
      </w:r>
      <w:r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 xml:space="preserve"> złotych)</w:t>
      </w:r>
      <w:r w:rsidRPr="00630A5B">
        <w:rPr>
          <w:rFonts w:ascii="Arial" w:hAnsi="Arial" w:cs="Arial"/>
          <w:iCs/>
          <w:color w:val="000000" w:themeColor="text1"/>
          <w:sz w:val="24"/>
          <w:szCs w:val="24"/>
          <w:lang w:eastAsia="en-US"/>
        </w:rPr>
        <w:t xml:space="preserve">. </w:t>
      </w:r>
    </w:p>
    <w:p w14:paraId="3F4C10D2" w14:textId="642E1BC2" w:rsidR="00027A60" w:rsidRPr="00027A60" w:rsidRDefault="00630A5B" w:rsidP="00027A60">
      <w:pPr>
        <w:pStyle w:val="ZLITPKTzmpktliter"/>
        <w:spacing w:after="60" w:line="240" w:lineRule="auto"/>
        <w:ind w:left="851" w:firstLine="0"/>
        <w:rPr>
          <w:rFonts w:ascii="Arial" w:hAnsi="Arial"/>
          <w:b/>
          <w:iCs/>
          <w:szCs w:val="24"/>
        </w:rPr>
      </w:pPr>
      <w:r w:rsidRPr="00630A5B">
        <w:rPr>
          <w:rFonts w:ascii="Arial" w:hAnsi="Arial"/>
          <w:iCs/>
          <w:color w:val="000000" w:themeColor="text1"/>
          <w:szCs w:val="24"/>
          <w:u w:val="single"/>
          <w:lang w:eastAsia="en-US"/>
        </w:rPr>
        <w:t>W przypadku wspólnego ubiegania się wykonawców o udzielenie zamówienia ww. warunek wykonawcy ci mogą spełniać łącznie.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7D7A4F5C" w:rsidR="009C61A2" w:rsidRPr="00E717C7" w:rsidRDefault="00263FEF" w:rsidP="00E06614">
      <w:pPr>
        <w:pStyle w:val="Akapitzlist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5950D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EF2479" w:rsidRPr="00EF247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lub remontowe w budynkach przemysłowych o wartości nie mniejszej niż </w:t>
      </w:r>
      <w:r w:rsidR="005950DF">
        <w:rPr>
          <w:rFonts w:ascii="Arial" w:hAnsi="Arial" w:cs="Arial"/>
          <w:color w:val="000000" w:themeColor="text1"/>
          <w:sz w:val="24"/>
          <w:szCs w:val="24"/>
        </w:rPr>
        <w:t>40</w:t>
      </w:r>
      <w:r w:rsidR="0049359C">
        <w:rPr>
          <w:rFonts w:ascii="Arial" w:hAnsi="Arial" w:cs="Arial"/>
          <w:color w:val="000000" w:themeColor="text1"/>
          <w:sz w:val="24"/>
          <w:szCs w:val="24"/>
        </w:rPr>
        <w:t>0</w:t>
      </w:r>
      <w:r w:rsidR="00EF2479" w:rsidRPr="00EF2479">
        <w:rPr>
          <w:rFonts w:ascii="Arial" w:hAnsi="Arial" w:cs="Arial"/>
          <w:color w:val="000000" w:themeColor="text1"/>
          <w:sz w:val="24"/>
          <w:szCs w:val="24"/>
        </w:rPr>
        <w:t> 000,00 zł brutto każda.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wspólnego ubiegania się wykonawców o udzielenie zamówienia lub polegania na zdolnościach podmiotów udostępniających zasoby ww. warunek musi spełniać co najmniej jeden z wykonawców 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</w:t>
      </w:r>
      <w:r w:rsidRPr="002A0F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AE05AD" w14:textId="1E46C32B" w:rsidR="000B3822" w:rsidRPr="00B767AF" w:rsidRDefault="00263FEF" w:rsidP="0063297A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C70E6C">
        <w:rPr>
          <w:rFonts w:ascii="Arial" w:hAnsi="Arial" w:cs="Arial"/>
          <w:sz w:val="24"/>
          <w:szCs w:val="24"/>
        </w:rPr>
        <w:t xml:space="preserve">dysponuje lub będzie dysponować </w:t>
      </w:r>
      <w:r w:rsidRPr="002A0FF1">
        <w:rPr>
          <w:rFonts w:ascii="Arial" w:hAnsi="Arial" w:cs="Arial"/>
          <w:b/>
          <w:sz w:val="24"/>
          <w:szCs w:val="24"/>
        </w:rPr>
        <w:t xml:space="preserve">minimum </w:t>
      </w:r>
      <w:r w:rsidR="00C70E6C" w:rsidRPr="002A0FF1">
        <w:rPr>
          <w:rFonts w:ascii="Arial" w:hAnsi="Arial" w:cs="Arial"/>
          <w:b/>
          <w:sz w:val="24"/>
          <w:szCs w:val="24"/>
        </w:rPr>
        <w:t>jedną</w:t>
      </w:r>
      <w:r w:rsidRPr="002A0FF1">
        <w:rPr>
          <w:rFonts w:ascii="Arial" w:hAnsi="Arial" w:cs="Arial"/>
          <w:b/>
          <w:sz w:val="24"/>
          <w:szCs w:val="24"/>
        </w:rPr>
        <w:t xml:space="preserve"> osob</w:t>
      </w:r>
      <w:r w:rsidR="00C70E6C" w:rsidRPr="002A0FF1">
        <w:rPr>
          <w:rFonts w:ascii="Arial" w:hAnsi="Arial" w:cs="Arial"/>
          <w:b/>
          <w:sz w:val="24"/>
          <w:szCs w:val="24"/>
        </w:rPr>
        <w:t>ą</w:t>
      </w:r>
      <w:r w:rsidRPr="00C70E6C">
        <w:rPr>
          <w:rFonts w:ascii="Arial" w:hAnsi="Arial" w:cs="Arial"/>
          <w:sz w:val="24"/>
          <w:szCs w:val="24"/>
        </w:rPr>
        <w:t xml:space="preserve"> </w:t>
      </w:r>
      <w:r w:rsidR="00C70E6C" w:rsidRPr="00C70E6C">
        <w:rPr>
          <w:rFonts w:ascii="Arial" w:hAnsi="Arial" w:cs="Arial"/>
          <w:bCs/>
          <w:sz w:val="24"/>
          <w:szCs w:val="24"/>
        </w:rPr>
        <w:t>skierowaną</w:t>
      </w:r>
      <w:r w:rsidRPr="00C70E6C">
        <w:rPr>
          <w:rFonts w:ascii="Arial" w:hAnsi="Arial" w:cs="Arial"/>
          <w:bCs/>
          <w:sz w:val="24"/>
          <w:szCs w:val="24"/>
        </w:rPr>
        <w:t xml:space="preserve"> przez wyk</w:t>
      </w:r>
      <w:r w:rsidR="00C70E6C" w:rsidRPr="00C70E6C">
        <w:rPr>
          <w:rFonts w:ascii="Arial" w:hAnsi="Arial" w:cs="Arial"/>
          <w:bCs/>
          <w:sz w:val="24"/>
          <w:szCs w:val="24"/>
        </w:rPr>
        <w:t>onawcę do realizacji zamówienia</w:t>
      </w:r>
      <w:r w:rsidR="002A0FF1">
        <w:rPr>
          <w:rFonts w:ascii="Arial" w:hAnsi="Arial" w:cs="Arial"/>
          <w:bCs/>
          <w:sz w:val="24"/>
          <w:szCs w:val="24"/>
        </w:rPr>
        <w:t>,</w:t>
      </w:r>
      <w:r w:rsidRPr="00C70E6C">
        <w:rPr>
          <w:rFonts w:ascii="Arial" w:hAnsi="Arial" w:cs="Arial"/>
          <w:bCs/>
          <w:sz w:val="24"/>
          <w:szCs w:val="24"/>
        </w:rPr>
        <w:t xml:space="preserve"> </w:t>
      </w:r>
      <w:r w:rsidR="00C70E6C" w:rsidRPr="00C70E6C">
        <w:rPr>
          <w:rFonts w:ascii="Arial" w:hAnsi="Arial" w:cs="Arial"/>
          <w:bCs/>
          <w:sz w:val="24"/>
          <w:szCs w:val="24"/>
        </w:rPr>
        <w:t xml:space="preserve">posiadającą aktualne uprawnienia </w:t>
      </w:r>
      <w:r w:rsidR="00C70E6C" w:rsidRPr="00B767AF">
        <w:rPr>
          <w:rFonts w:ascii="Arial" w:hAnsi="Arial" w:cs="Arial"/>
          <w:bCs/>
          <w:sz w:val="24"/>
          <w:szCs w:val="24"/>
        </w:rPr>
        <w:t xml:space="preserve">budowlane </w:t>
      </w:r>
      <w:r w:rsidR="003A20A0">
        <w:rPr>
          <w:rFonts w:ascii="Arial" w:hAnsi="Arial" w:cs="Arial"/>
          <w:bCs/>
          <w:sz w:val="24"/>
          <w:szCs w:val="24"/>
        </w:rPr>
        <w:t xml:space="preserve">do kierowania robotami </w:t>
      </w:r>
      <w:r w:rsidR="00C70E6C" w:rsidRPr="00B767AF">
        <w:rPr>
          <w:rFonts w:ascii="Arial" w:hAnsi="Arial" w:cs="Arial"/>
          <w:bCs/>
          <w:sz w:val="24"/>
          <w:szCs w:val="24"/>
        </w:rPr>
        <w:t>w specjalności konstrukcyjno-budowlanej bez ograniczeń.</w:t>
      </w:r>
    </w:p>
    <w:p w14:paraId="2C49B6D9" w14:textId="2E9172EB" w:rsidR="00BC3215" w:rsidRDefault="00930AE7" w:rsidP="0063297A">
      <w:pPr>
        <w:ind w:left="993"/>
        <w:jc w:val="both"/>
        <w:rPr>
          <w:rFonts w:ascii="Arial" w:hAnsi="Arial" w:cs="Arial"/>
          <w:iCs/>
          <w:sz w:val="24"/>
          <w:szCs w:val="24"/>
        </w:rPr>
      </w:pPr>
      <w:r w:rsidRPr="00B767AF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B767AF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zamówienia</w:t>
      </w:r>
      <w:r w:rsidRPr="00B767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450A66" w14:textId="62FB5EC5" w:rsidR="002A0FF1" w:rsidRDefault="002A0FF1" w:rsidP="0063297A">
      <w:pPr>
        <w:pStyle w:val="Akapitzlist"/>
        <w:numPr>
          <w:ilvl w:val="0"/>
          <w:numId w:val="18"/>
        </w:numPr>
        <w:spacing w:line="240" w:lineRule="auto"/>
        <w:ind w:left="992" w:hanging="425"/>
        <w:jc w:val="both"/>
        <w:rPr>
          <w:rFonts w:ascii="Arial" w:hAnsi="Arial" w:cs="Arial"/>
          <w:iCs/>
          <w:sz w:val="24"/>
          <w:szCs w:val="24"/>
        </w:rPr>
      </w:pPr>
      <w:r w:rsidRPr="002A0FF1">
        <w:rPr>
          <w:rFonts w:ascii="Arial" w:hAnsi="Arial" w:cs="Arial"/>
          <w:iCs/>
          <w:sz w:val="24"/>
          <w:szCs w:val="24"/>
        </w:rPr>
        <w:t>zatrudniał w rozumieniu ustawy z dnia z dnia 26 czerwca 1974 r. – Kodeks pracy średniorocznie w ostatnich trzech latach przed upływem terminu składania ofert, a w przypadku gdy okres prowadzenia działalności jest krótszy – w tym okresie, co najmniej 5 osób (w przeliczeniu na pełne etaty), a liczebność kadry kierowniczej u wykonawcy wynosi co najmniej 3 os</w:t>
      </w:r>
      <w:r w:rsidR="00640128">
        <w:rPr>
          <w:rFonts w:ascii="Arial" w:hAnsi="Arial" w:cs="Arial"/>
          <w:iCs/>
          <w:sz w:val="24"/>
          <w:szCs w:val="24"/>
        </w:rPr>
        <w:t>oby</w:t>
      </w:r>
      <w:r w:rsidRPr="002A0FF1">
        <w:rPr>
          <w:rFonts w:ascii="Arial" w:hAnsi="Arial" w:cs="Arial"/>
          <w:iCs/>
          <w:sz w:val="24"/>
          <w:szCs w:val="24"/>
        </w:rPr>
        <w:t>.</w:t>
      </w:r>
    </w:p>
    <w:p w14:paraId="0D96BE1A" w14:textId="79409E73" w:rsidR="009E373B" w:rsidRPr="002A0FF1" w:rsidRDefault="00B951B7" w:rsidP="00027A60">
      <w:pPr>
        <w:pStyle w:val="Akapitzlist"/>
        <w:spacing w:after="60" w:line="240" w:lineRule="auto"/>
        <w:ind w:left="992"/>
        <w:jc w:val="both"/>
        <w:rPr>
          <w:rFonts w:ascii="Arial" w:hAnsi="Arial" w:cs="Arial"/>
          <w:iCs/>
          <w:sz w:val="24"/>
          <w:szCs w:val="24"/>
        </w:rPr>
      </w:pPr>
      <w:r w:rsidRPr="007B0F0D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7B0F0D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a</w:t>
      </w:r>
      <w:r w:rsidRPr="009B2E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F1B63A" w14:textId="75034E7E" w:rsidR="00263FEF" w:rsidRPr="00BC3215" w:rsidRDefault="00263FEF" w:rsidP="008A0FE6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2A4A1F" w:rsidRDefault="00263FEF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8A0FE6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lastRenderedPageBreak/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3C12D3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171AE1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0046EB70" w14:textId="77777777" w:rsidR="00080BDE" w:rsidRPr="00080BDE" w:rsidRDefault="00080BDE" w:rsidP="00080BDE">
      <w:pPr>
        <w:pStyle w:val="Akapitzlist"/>
        <w:numPr>
          <w:ilvl w:val="3"/>
          <w:numId w:val="8"/>
        </w:numPr>
        <w:spacing w:before="240" w:line="240" w:lineRule="auto"/>
        <w:ind w:left="1418" w:hanging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80BDE">
        <w:rPr>
          <w:rFonts w:ascii="Arial" w:hAnsi="Arial" w:cs="Arial"/>
          <w:b/>
          <w:iCs/>
          <w:color w:val="000000" w:themeColor="text1"/>
          <w:sz w:val="24"/>
          <w:szCs w:val="24"/>
        </w:rPr>
        <w:t>informacja banku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</w:rPr>
        <w:t xml:space="preserve"> lub spółdzielczej kasy </w:t>
      </w:r>
      <w:r w:rsidRPr="00080BDE">
        <w:rPr>
          <w:rFonts w:ascii="Arial" w:hAnsi="Arial" w:cs="Arial"/>
          <w:b/>
          <w:iCs/>
          <w:color w:val="000000" w:themeColor="text1"/>
          <w:sz w:val="24"/>
          <w:szCs w:val="24"/>
        </w:rPr>
        <w:t>oszczędnościowo – kredytowej potwierdzająca wysokość posiadanych środków finansowych lub zdolność kredytową wykonawcy, w okresie nie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</w:rPr>
        <w:t xml:space="preserve"> wcześniejszym niż 3 miesiące przed jej złożeniem;</w:t>
      </w:r>
    </w:p>
    <w:p w14:paraId="0C785AFA" w14:textId="3BC2C728" w:rsidR="00080BDE" w:rsidRPr="00080BDE" w:rsidRDefault="00080BDE" w:rsidP="00080BDE">
      <w:pPr>
        <w:pStyle w:val="Akapitzlist"/>
        <w:autoSpaceDE w:val="0"/>
        <w:autoSpaceDN w:val="0"/>
        <w:adjustRightInd w:val="0"/>
        <w:spacing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BD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ww. dokument składa ten/ci z wykonawców, którzy będą odpowiadali za spełnienie tego warunku.</w:t>
      </w:r>
    </w:p>
    <w:p w14:paraId="2B6EAD6D" w14:textId="2E4C7AD6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447CBE1" w:rsidR="003E7117" w:rsidRPr="002A4A1F" w:rsidRDefault="003E7117" w:rsidP="008F4A31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8F4A31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BD85B43" w14:textId="77777777" w:rsidR="008F4A31" w:rsidRPr="0000714F" w:rsidRDefault="008F4A31" w:rsidP="00BB00E2">
      <w:pPr>
        <w:pStyle w:val="Akapitzlist"/>
        <w:numPr>
          <w:ilvl w:val="3"/>
          <w:numId w:val="8"/>
        </w:numPr>
        <w:spacing w:line="240" w:lineRule="auto"/>
        <w:ind w:left="1418"/>
        <w:jc w:val="both"/>
        <w:rPr>
          <w:rFonts w:ascii="Arial" w:hAnsi="Arial" w:cs="Arial"/>
          <w:sz w:val="24"/>
          <w:szCs w:val="24"/>
          <w:u w:val="single"/>
        </w:rPr>
      </w:pPr>
      <w:r w:rsidRPr="00C92182">
        <w:rPr>
          <w:rFonts w:ascii="Arial" w:hAnsi="Arial" w:cs="Arial"/>
          <w:b/>
          <w:sz w:val="24"/>
          <w:szCs w:val="24"/>
        </w:rPr>
        <w:t>oświadczenie</w:t>
      </w:r>
      <w:r w:rsidRPr="00767916">
        <w:rPr>
          <w:rFonts w:ascii="Arial" w:hAnsi="Arial" w:cs="Arial"/>
          <w:sz w:val="24"/>
          <w:szCs w:val="24"/>
        </w:rPr>
        <w:t xml:space="preserve"> na temat wielkości średniorocznego zatrudnienia u Wykonawcy oraz o liczebności kadry kierowniczej w ostatnich trzech latach przed upływem terminu składania ofert, a jeżeli okres prowadzenia działalności jest krótszy – w tym okresie.</w:t>
      </w:r>
    </w:p>
    <w:p w14:paraId="1D8C5652" w14:textId="2631DA28" w:rsidR="008F4A31" w:rsidRPr="00E717C7" w:rsidRDefault="008F4A31" w:rsidP="00BB00E2">
      <w:pPr>
        <w:pStyle w:val="Akapitzlist"/>
        <w:spacing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14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6A70C7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6A70C7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3E6BC737" w:rsidR="003C0D9D" w:rsidRPr="00D815C1" w:rsidRDefault="00417FE5" w:rsidP="00D815C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5950DF">
        <w:rPr>
          <w:rFonts w:ascii="Arial" w:hAnsi="Arial" w:cs="Arial"/>
          <w:sz w:val="24"/>
          <w:szCs w:val="24"/>
        </w:rPr>
        <w:t>6</w:t>
      </w:r>
      <w:r w:rsidR="00006876">
        <w:rPr>
          <w:rFonts w:ascii="Arial" w:hAnsi="Arial" w:cs="Arial"/>
          <w:sz w:val="24"/>
          <w:szCs w:val="24"/>
        </w:rPr>
        <w:t xml:space="preserve"> miesięcy od dnia zawarcia umowy.</w:t>
      </w:r>
    </w:p>
    <w:p w14:paraId="2C801FA4" w14:textId="77777777" w:rsidR="00D815C1" w:rsidRPr="004800F1" w:rsidRDefault="00D815C1" w:rsidP="00D815C1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>tytułu rękojmi za wady przedmiotu umowy przez co najmniej 36 miesięcy. Okres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4A4AB1FE" w:rsidR="00FA7275" w:rsidRPr="001E3DFC" w:rsidRDefault="00D815C1" w:rsidP="00D815C1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17147F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  <w:r w:rsidR="0017147F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4901DC29" w:rsidR="0060016F" w:rsidRPr="003C12D3" w:rsidRDefault="0060016F" w:rsidP="003C11F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F01525">
        <w:rPr>
          <w:rFonts w:ascii="Arial" w:hAnsi="Arial" w:cs="Arial"/>
          <w:b/>
        </w:rPr>
        <w:t>10</w:t>
      </w:r>
      <w:r w:rsidR="00FA7275" w:rsidRPr="00527343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F01525">
        <w:rPr>
          <w:rFonts w:ascii="Arial" w:hAnsi="Arial" w:cs="Arial"/>
        </w:rPr>
        <w:t>dziesięć</w:t>
      </w:r>
      <w:r w:rsidR="0028228F">
        <w:rPr>
          <w:rFonts w:ascii="Arial" w:hAnsi="Arial" w:cs="Arial"/>
        </w:rPr>
        <w:t xml:space="preserve"> tysi</w:t>
      </w:r>
      <w:r w:rsidR="003C0D9D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3C0D9D">
        <w:rPr>
          <w:rFonts w:ascii="Arial" w:hAnsi="Arial" w:cs="Arial"/>
        </w:rPr>
        <w:t>y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C11F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C11F3">
      <w:pPr>
        <w:numPr>
          <w:ilvl w:val="1"/>
          <w:numId w:val="15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3E13C9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1ADAB7E1" w:rsidR="0028228F" w:rsidRPr="003C0D9D" w:rsidRDefault="0028228F" w:rsidP="006105E5">
      <w:pPr>
        <w:spacing w:after="60"/>
        <w:ind w:left="567"/>
        <w:jc w:val="both"/>
        <w:rPr>
          <w:rFonts w:cstheme="minorHAnsi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3C0D9D">
        <w:rPr>
          <w:rFonts w:ascii="Arial" w:hAnsi="Arial" w:cs="Arial"/>
          <w:b/>
          <w:sz w:val="24"/>
          <w:szCs w:val="24"/>
        </w:rPr>
        <w:t xml:space="preserve">:  „Wadium –  </w:t>
      </w:r>
      <w:r w:rsidR="004D6AB8" w:rsidRPr="004D6AB8">
        <w:rPr>
          <w:rFonts w:ascii="Arial" w:hAnsi="Arial" w:cs="Arial"/>
          <w:b/>
          <w:bCs/>
          <w:sz w:val="24"/>
          <w:szCs w:val="24"/>
        </w:rPr>
        <w:t>Remont pokryw mieszaczy w ZPW Miedwie”</w:t>
      </w:r>
    </w:p>
    <w:p w14:paraId="10BB1A94" w14:textId="77777777" w:rsidR="00EC55AC" w:rsidRDefault="003A6676" w:rsidP="003C11F3">
      <w:pPr>
        <w:pStyle w:val="pkt"/>
        <w:numPr>
          <w:ilvl w:val="1"/>
          <w:numId w:val="15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</w:t>
      </w:r>
      <w:r w:rsidRPr="003C12D3">
        <w:rPr>
          <w:rFonts w:ascii="Arial" w:hAnsi="Arial" w:cs="Arial"/>
          <w:color w:val="000000"/>
        </w:rPr>
        <w:lastRenderedPageBreak/>
        <w:t xml:space="preserve">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C11F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C11F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E06614">
      <w:pPr>
        <w:pStyle w:val="Akapitzlist"/>
        <w:numPr>
          <w:ilvl w:val="0"/>
          <w:numId w:val="26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E06614">
      <w:pPr>
        <w:pStyle w:val="Tekstpodstawowywcity3"/>
        <w:numPr>
          <w:ilvl w:val="0"/>
          <w:numId w:val="26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E06614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006D8290" w:rsidR="00164FF7" w:rsidRPr="00164FF7" w:rsidRDefault="00164FF7" w:rsidP="00E06614">
      <w:pPr>
        <w:pStyle w:val="Akapitzlist"/>
        <w:numPr>
          <w:ilvl w:val="1"/>
          <w:numId w:val="51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który wycofał ofertę przed upływem terminu składania ofert;</w:t>
      </w:r>
    </w:p>
    <w:p w14:paraId="57B408C3" w14:textId="3B2346DD" w:rsidR="00164FF7" w:rsidRPr="00164FF7" w:rsidRDefault="00164FF7" w:rsidP="00E06614">
      <w:pPr>
        <w:pStyle w:val="Akapitzlist"/>
        <w:numPr>
          <w:ilvl w:val="1"/>
          <w:numId w:val="51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którego oferta została odrzucona;</w:t>
      </w:r>
    </w:p>
    <w:p w14:paraId="30C10864" w14:textId="53627136" w:rsidR="00164FF7" w:rsidRPr="00164FF7" w:rsidRDefault="00164FF7" w:rsidP="00E06614">
      <w:pPr>
        <w:pStyle w:val="Akapitzlist"/>
        <w:numPr>
          <w:ilvl w:val="1"/>
          <w:numId w:val="51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lastRenderedPageBreak/>
        <w:t>po wyborze najkorzystniejszej oferty, z wyjątkiem wykonawcy, którego oferta została wybrana jako najkorzystniejsza;</w:t>
      </w:r>
    </w:p>
    <w:p w14:paraId="786BBF37" w14:textId="029E1829" w:rsidR="00164FF7" w:rsidRPr="00164FF7" w:rsidRDefault="00164FF7" w:rsidP="00E06614">
      <w:pPr>
        <w:pStyle w:val="Akapitzlist"/>
        <w:numPr>
          <w:ilvl w:val="1"/>
          <w:numId w:val="51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E06614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E06614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AD4D860" w14:textId="6712E1FB" w:rsidR="00CD3FC7" w:rsidRDefault="00CD3FC7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</w:t>
      </w:r>
      <w:r w:rsidRPr="00442AE0">
        <w:rPr>
          <w:rFonts w:ascii="Arial" w:hAnsi="Arial" w:cs="Arial"/>
          <w:sz w:val="24"/>
          <w:szCs w:val="24"/>
        </w:rPr>
        <w:t>wyjaśnienie treści SWZ.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3C12D3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171AE1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C6259A5" w:rsidR="0060016F" w:rsidRPr="002A4A1F" w:rsidRDefault="00032045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192E2A" w:rsidRPr="00192E2A">
        <w:rPr>
          <w:rFonts w:ascii="Arial" w:hAnsi="Arial" w:cs="Arial"/>
          <w:iCs/>
          <w:color w:val="000000" w:themeColor="text1"/>
          <w:sz w:val="24"/>
          <w:szCs w:val="24"/>
        </w:rPr>
        <w:t>kosztorysowe</w:t>
      </w:r>
      <w:r w:rsidRPr="00192E2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516D0A11" w:rsidR="00B70C11" w:rsidRPr="00B70C11" w:rsidRDefault="00C06348" w:rsidP="003C11F3">
      <w:pPr>
        <w:pStyle w:val="Standard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C06348">
        <w:rPr>
          <w:rFonts w:ascii="Arial" w:hAnsi="Arial" w:cs="Arial"/>
          <w:szCs w:val="24"/>
        </w:rPr>
        <w:t>Cena oferty musi obejmować wykonan</w:t>
      </w:r>
      <w:r>
        <w:rPr>
          <w:rFonts w:ascii="Arial" w:hAnsi="Arial" w:cs="Arial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Cs w:val="24"/>
        </w:rPr>
        <w:t>(załącznik</w:t>
      </w:r>
      <w:r w:rsidR="001E3DFC" w:rsidRPr="001E3DFC">
        <w:rPr>
          <w:rFonts w:ascii="Arial" w:hAnsi="Arial" w:cs="Arial"/>
          <w:szCs w:val="24"/>
        </w:rPr>
        <w:t>i</w:t>
      </w:r>
      <w:r w:rsidRPr="001E3DFC">
        <w:rPr>
          <w:rFonts w:ascii="Arial" w:hAnsi="Arial" w:cs="Arial"/>
          <w:szCs w:val="24"/>
        </w:rPr>
        <w:t xml:space="preserve"> nr 7</w:t>
      </w:r>
      <w:r w:rsidR="005C1702">
        <w:rPr>
          <w:rFonts w:ascii="Arial" w:hAnsi="Arial" w:cs="Arial"/>
          <w:szCs w:val="24"/>
        </w:rPr>
        <w:t xml:space="preserve"> do SWZ</w:t>
      </w:r>
      <w:r w:rsidRPr="001E3DFC">
        <w:rPr>
          <w:rFonts w:ascii="Arial" w:hAnsi="Arial" w:cs="Arial"/>
          <w:szCs w:val="24"/>
        </w:rPr>
        <w:t xml:space="preserve">) </w:t>
      </w:r>
      <w:r w:rsidRPr="00C06348">
        <w:rPr>
          <w:rFonts w:ascii="Arial" w:hAnsi="Arial" w:cs="Arial"/>
          <w:color w:val="000000"/>
          <w:szCs w:val="24"/>
        </w:rPr>
        <w:t>jak również wszelkie koszty dodatkowe, w tym w  szczególności</w:t>
      </w:r>
      <w:r w:rsidR="003C0D9D">
        <w:rPr>
          <w:rFonts w:ascii="Arial" w:hAnsi="Arial" w:cs="Arial"/>
          <w:color w:val="000000"/>
          <w:szCs w:val="24"/>
        </w:rPr>
        <w:t>:</w:t>
      </w:r>
    </w:p>
    <w:p w14:paraId="261660CD" w14:textId="77777777" w:rsidR="00022332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ubezpieczenia, </w:t>
      </w:r>
    </w:p>
    <w:p w14:paraId="79DA08F8" w14:textId="77777777" w:rsidR="00022332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gwarancji i rękojmi, </w:t>
      </w:r>
    </w:p>
    <w:p w14:paraId="0AF91B89" w14:textId="77777777" w:rsidR="00022332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organizacji i utrzymania zaplecza, </w:t>
      </w:r>
    </w:p>
    <w:p w14:paraId="0FB50CF8" w14:textId="77777777" w:rsidR="00022332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tablicy informacyjnej, </w:t>
      </w:r>
    </w:p>
    <w:p w14:paraId="372492B6" w14:textId="77777777" w:rsidR="00022332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ochrony mienia, bhp i ppoż., </w:t>
      </w:r>
    </w:p>
    <w:p w14:paraId="1BEB6EE6" w14:textId="77777777" w:rsidR="00022332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koszty </w:t>
      </w:r>
      <w:r w:rsidRPr="00022332">
        <w:rPr>
          <w:rFonts w:ascii="Arial" w:hAnsi="Arial" w:cs="Arial"/>
          <w:szCs w:val="24"/>
        </w:rPr>
        <w:t xml:space="preserve">zabezpieczenia budowy, </w:t>
      </w:r>
    </w:p>
    <w:p w14:paraId="4CE95BD1" w14:textId="77777777" w:rsidR="00022332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robót przygotowawczych, porządkowych recyklingu odpadów, </w:t>
      </w:r>
    </w:p>
    <w:p w14:paraId="16D19BF8" w14:textId="77777777" w:rsidR="00022332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prób, dezynfekcji, pomiarów, badań, sprawdzeń, </w:t>
      </w:r>
    </w:p>
    <w:p w14:paraId="37166A2D" w14:textId="5AD06AA7" w:rsidR="003C0D9D" w:rsidRPr="00022332" w:rsidRDefault="00022332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>koszty sporządzenia dokumentacji powykonawczej oraz instrukcji obsługi,</w:t>
      </w:r>
    </w:p>
    <w:p w14:paraId="396D19D7" w14:textId="3112BA18" w:rsidR="003C0D9D" w:rsidRPr="00B70C11" w:rsidRDefault="003C0D9D" w:rsidP="00E06614">
      <w:pPr>
        <w:pStyle w:val="Standard"/>
        <w:numPr>
          <w:ilvl w:val="0"/>
          <w:numId w:val="49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lastRenderedPageBreak/>
        <w:t xml:space="preserve">wszelkie inne koszty konieczne do poniesienia w celu zrealizowania </w:t>
      </w:r>
      <w:r w:rsidR="00022332">
        <w:rPr>
          <w:rFonts w:ascii="Arial" w:hAnsi="Arial" w:cs="Arial"/>
          <w:szCs w:val="24"/>
        </w:rPr>
        <w:br/>
      </w:r>
      <w:r w:rsidRPr="00B70C11">
        <w:rPr>
          <w:rFonts w:ascii="Arial" w:hAnsi="Arial" w:cs="Arial"/>
          <w:szCs w:val="24"/>
        </w:rPr>
        <w:t>i oddania do użytkowania przedmiotu zamówienia.</w:t>
      </w:r>
    </w:p>
    <w:p w14:paraId="7F1A0F23" w14:textId="115C3711" w:rsidR="004513CB" w:rsidRPr="00B70C11" w:rsidRDefault="004513CB" w:rsidP="00B70C1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0901C1" w14:textId="5D8DC972" w:rsidR="0060016F" w:rsidRPr="00B70C11" w:rsidRDefault="0060016F" w:rsidP="003C11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11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B70C11">
        <w:rPr>
          <w:rFonts w:ascii="Arial" w:hAnsi="Arial" w:cs="Arial"/>
          <w:color w:val="000000" w:themeColor="text1"/>
          <w:sz w:val="24"/>
          <w:szCs w:val="24"/>
        </w:rPr>
        <w:t>a</w:t>
      </w:r>
      <w:r w:rsidRPr="00B70C11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1DCE37B2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970F18">
        <w:rPr>
          <w:rFonts w:ascii="Arial" w:hAnsi="Arial" w:cs="Arial"/>
          <w:b/>
          <w:color w:val="auto"/>
        </w:rPr>
        <w:t>06.</w:t>
      </w:r>
      <w:r w:rsidR="00192E2A">
        <w:rPr>
          <w:rFonts w:ascii="Arial" w:hAnsi="Arial" w:cs="Arial"/>
          <w:b/>
          <w:color w:val="auto"/>
        </w:rPr>
        <w:t>0</w:t>
      </w:r>
      <w:r w:rsidR="00970F18">
        <w:rPr>
          <w:rFonts w:ascii="Arial" w:hAnsi="Arial" w:cs="Arial"/>
          <w:b/>
          <w:color w:val="auto"/>
        </w:rPr>
        <w:t>3</w:t>
      </w:r>
      <w:r w:rsidR="00192E2A">
        <w:rPr>
          <w:rFonts w:ascii="Arial" w:hAnsi="Arial" w:cs="Arial"/>
          <w:b/>
          <w:color w:val="auto"/>
        </w:rPr>
        <w:t>.2</w:t>
      </w:r>
      <w:r w:rsidR="003D0B77">
        <w:rPr>
          <w:rFonts w:ascii="Arial" w:hAnsi="Arial" w:cs="Arial"/>
          <w:b/>
          <w:color w:val="auto"/>
        </w:rPr>
        <w:t>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2D39BFE5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970F18">
        <w:rPr>
          <w:rFonts w:ascii="Arial" w:hAnsi="Arial" w:cs="Arial"/>
          <w:b/>
          <w:color w:val="auto"/>
        </w:rPr>
        <w:t>06.03</w:t>
      </w:r>
      <w:bookmarkStart w:id="7" w:name="_GoBack"/>
      <w:bookmarkEnd w:id="7"/>
      <w:r w:rsidR="00192E2A">
        <w:rPr>
          <w:rFonts w:ascii="Arial" w:hAnsi="Arial" w:cs="Arial"/>
          <w:b/>
          <w:color w:val="auto"/>
        </w:rPr>
        <w:t>.</w:t>
      </w:r>
      <w:r w:rsidR="003D0B77">
        <w:rPr>
          <w:rFonts w:ascii="Arial" w:hAnsi="Arial" w:cs="Arial"/>
          <w:b/>
          <w:color w:val="auto"/>
        </w:rPr>
        <w:t>202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3C12D3" w:rsidRDefault="0060016F" w:rsidP="0017147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17147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591ECBFB" w:rsidR="00E34489" w:rsidRPr="00E34489" w:rsidRDefault="00E34489" w:rsidP="00E06614">
      <w:pPr>
        <w:pStyle w:val="Akapitzlist"/>
        <w:numPr>
          <w:ilvl w:val="1"/>
          <w:numId w:val="5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E34489" w:rsidRDefault="00E34489" w:rsidP="00E06614">
      <w:pPr>
        <w:pStyle w:val="Akapitzlist"/>
        <w:numPr>
          <w:ilvl w:val="1"/>
          <w:numId w:val="5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E34489" w:rsidRDefault="00E34489" w:rsidP="00E06614">
      <w:pPr>
        <w:pStyle w:val="Akapitzlist"/>
        <w:numPr>
          <w:ilvl w:val="1"/>
          <w:numId w:val="5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597A0D2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  <w:r w:rsidR="00AB1ECB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Default="008F4D0F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3C12D3" w:rsidRDefault="00DD1F4C" w:rsidP="00171A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  <w:r w:rsidR="00171AE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E06614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475ED1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02649A" w:rsidRDefault="00DD1F4C" w:rsidP="000264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5D6FAD4" w14:textId="23161B1A" w:rsidR="00027F5F" w:rsidRPr="00475ED1" w:rsidRDefault="00696863" w:rsidP="00E06614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60051C" w:rsidRDefault="00027F5F" w:rsidP="00E0661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76D2B5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A0308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83463" w:rsidRPr="00A030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BRU</w:t>
            </w:r>
            <w:r w:rsidR="00B52F5E" w:rsidRPr="00A030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TTO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DD1F4C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E06614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ED65AE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E06614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E06614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3F84F686" w:rsidR="00180465" w:rsidRDefault="00180465" w:rsidP="00E06614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6AF25223" w14:textId="77777777" w:rsidR="00A743FB" w:rsidRPr="00A171DA" w:rsidRDefault="00A743FB" w:rsidP="00A743FB">
      <w:pPr>
        <w:pStyle w:val="Default"/>
        <w:ind w:left="360"/>
        <w:jc w:val="both"/>
        <w:rPr>
          <w:rFonts w:ascii="Arial" w:hAnsi="Arial" w:cs="Arial"/>
          <w:b/>
          <w:bCs/>
        </w:rPr>
      </w:pP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BE7BB19" w14:textId="220CD1D2" w:rsidR="0060016F" w:rsidRPr="0018655F" w:rsidRDefault="0060016F" w:rsidP="005B69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18655F">
        <w:rPr>
          <w:rFonts w:ascii="Arial" w:hAnsi="Arial" w:cs="Arial"/>
          <w:sz w:val="24"/>
          <w:szCs w:val="24"/>
        </w:rPr>
        <w:lastRenderedPageBreak/>
        <w:t>ROZDZIAŁ X</w:t>
      </w:r>
      <w:r w:rsidR="00B0033A" w:rsidRPr="0018655F">
        <w:rPr>
          <w:rFonts w:ascii="Arial" w:hAnsi="Arial" w:cs="Arial"/>
          <w:sz w:val="24"/>
          <w:szCs w:val="24"/>
        </w:rPr>
        <w:t>VIII</w:t>
      </w:r>
      <w:r w:rsidRPr="0018655F">
        <w:rPr>
          <w:rFonts w:ascii="Arial" w:hAnsi="Arial" w:cs="Arial"/>
          <w:sz w:val="24"/>
          <w:szCs w:val="24"/>
        </w:rPr>
        <w:t xml:space="preserve"> </w:t>
      </w:r>
      <w:r w:rsidR="005B6932" w:rsidRPr="0018655F">
        <w:rPr>
          <w:rFonts w:ascii="Arial" w:hAnsi="Arial" w:cs="Arial"/>
          <w:sz w:val="24"/>
          <w:szCs w:val="24"/>
        </w:rPr>
        <w:br/>
      </w:r>
      <w:r w:rsidRPr="0018655F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18655F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18655F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046733AD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  <w:r w:rsidR="00E04BE8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5E54C3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przedłożenia kosztorysu uproszczonego Zamawiającemu</w:t>
      </w:r>
      <w:r w:rsidR="00E04BE8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B85EF4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CC6819" w:rsidRDefault="002C29BA" w:rsidP="00E06614">
      <w:pPr>
        <w:pStyle w:val="Akapitzlist"/>
        <w:numPr>
          <w:ilvl w:val="4"/>
          <w:numId w:val="50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CC6819" w:rsidRDefault="002C29BA" w:rsidP="00E06614">
      <w:pPr>
        <w:pStyle w:val="Akapitzlist"/>
        <w:numPr>
          <w:ilvl w:val="4"/>
          <w:numId w:val="50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CC6819" w:rsidRDefault="002C29BA" w:rsidP="00E06614">
      <w:pPr>
        <w:pStyle w:val="Akapitzlist"/>
        <w:numPr>
          <w:ilvl w:val="4"/>
          <w:numId w:val="50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CC6819" w:rsidRDefault="002C29BA" w:rsidP="00E06614">
      <w:pPr>
        <w:pStyle w:val="Akapitzlist"/>
        <w:numPr>
          <w:ilvl w:val="4"/>
          <w:numId w:val="50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ubezpieczeniowych.</w:t>
      </w:r>
    </w:p>
    <w:p w14:paraId="2E16416D" w14:textId="77777777" w:rsidR="002C29BA" w:rsidRP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lastRenderedPageBreak/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E06614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E06614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ED55F1" w:rsidRDefault="004635DD" w:rsidP="00E06614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D55F1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7094F076" w14:textId="77777777" w:rsidR="00A743FB" w:rsidRPr="00A743FB" w:rsidRDefault="00A743FB" w:rsidP="00A743FB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A743FB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A743FB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A743FB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A743FB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A743FB">
        <w:rPr>
          <w:rFonts w:ascii="Arial" w:hAnsi="Arial" w:cs="Arial"/>
          <w:sz w:val="24"/>
          <w:szCs w:val="24"/>
        </w:rPr>
        <w:t>:</w:t>
      </w:r>
    </w:p>
    <w:p w14:paraId="1CD9D568" w14:textId="77777777" w:rsidR="00A743FB" w:rsidRPr="00A743FB" w:rsidRDefault="00A743FB" w:rsidP="00A743FB">
      <w:pPr>
        <w:numPr>
          <w:ilvl w:val="0"/>
          <w:numId w:val="56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743FB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6BDCB80B" w14:textId="77777777" w:rsidR="00A743FB" w:rsidRPr="00A743FB" w:rsidRDefault="00A743FB" w:rsidP="00A743FB">
      <w:pPr>
        <w:numPr>
          <w:ilvl w:val="0"/>
          <w:numId w:val="57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743FB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0D8D5FDB" w14:textId="77777777" w:rsidR="00A743FB" w:rsidRPr="00A743FB" w:rsidRDefault="00A743FB" w:rsidP="00A743FB">
      <w:pPr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A743FB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A743FB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03A310BB" w14:textId="77777777" w:rsidR="00A743FB" w:rsidRPr="00A743FB" w:rsidRDefault="00A743FB" w:rsidP="00A743FB">
      <w:pPr>
        <w:numPr>
          <w:ilvl w:val="0"/>
          <w:numId w:val="57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743FB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21C583F1" w14:textId="77777777" w:rsidR="00A743FB" w:rsidRPr="00A743FB" w:rsidRDefault="00A743FB" w:rsidP="00A743FB">
      <w:pPr>
        <w:numPr>
          <w:ilvl w:val="0"/>
          <w:numId w:val="5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743FB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31637C42" w14:textId="77777777" w:rsidR="00A743FB" w:rsidRPr="00A743FB" w:rsidRDefault="00A743FB" w:rsidP="00A743FB">
      <w:pPr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A743FB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A743FB">
        <w:rPr>
          <w:rFonts w:ascii="Arial" w:hAnsi="Arial" w:cs="Arial"/>
          <w:sz w:val="24"/>
          <w:szCs w:val="24"/>
        </w:rPr>
        <w:t>,</w:t>
      </w:r>
    </w:p>
    <w:p w14:paraId="50A2C34C" w14:textId="77777777" w:rsidR="00A743FB" w:rsidRPr="00A743FB" w:rsidRDefault="00A743FB" w:rsidP="00A743FB">
      <w:pPr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A743FB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0F2B13DA" w14:textId="77777777" w:rsidR="00A743FB" w:rsidRPr="00A743FB" w:rsidRDefault="00A743FB" w:rsidP="00A743FB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A743FB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02A5527D" w14:textId="77777777" w:rsidR="00A743FB" w:rsidRPr="00A743FB" w:rsidRDefault="00A743FB" w:rsidP="00A743FB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A743FB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1B5A330B" w14:textId="77777777" w:rsidR="00A743FB" w:rsidRPr="00A743FB" w:rsidRDefault="00A743FB" w:rsidP="00A743FB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A743FB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6E64F839" w14:textId="77777777" w:rsidR="00A743FB" w:rsidRPr="00A743FB" w:rsidRDefault="00A743FB" w:rsidP="00A743FB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A743FB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A743FB" w:rsidRDefault="00581860" w:rsidP="00A743FB">
      <w:pPr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3C12D3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AD0E1C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zamówień publicznych, </w:t>
      </w:r>
      <w:r w:rsidRPr="00AD0E1C">
        <w:rPr>
          <w:rFonts w:ascii="Arial" w:hAnsi="Arial" w:cs="Arial"/>
          <w:sz w:val="24"/>
          <w:szCs w:val="24"/>
        </w:rPr>
        <w:t>Wykonawcom nie przysługują środki ochrony prawnej wymienione we wspomnianej ustawie.</w:t>
      </w:r>
    </w:p>
    <w:p w14:paraId="41F0833E" w14:textId="77777777" w:rsidR="002C27E2" w:rsidRPr="00AD0E1C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AD0E1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AD0E1C">
        <w:rPr>
          <w:rFonts w:ascii="Arial" w:hAnsi="Arial" w:cs="Arial"/>
          <w:color w:val="auto"/>
        </w:rPr>
        <w:t>ROZDZIAŁ X</w:t>
      </w:r>
      <w:r w:rsidR="00B0033A" w:rsidRPr="00AD0E1C">
        <w:rPr>
          <w:rFonts w:ascii="Arial" w:hAnsi="Arial" w:cs="Arial"/>
          <w:color w:val="auto"/>
        </w:rPr>
        <w:t>X</w:t>
      </w:r>
      <w:r w:rsidRPr="00AD0E1C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AD0E1C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AD0E1C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AD0E1C" w:rsidRDefault="0060016F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AD0E1C">
        <w:rPr>
          <w:rFonts w:ascii="Arial" w:hAnsi="Arial" w:cs="Arial"/>
          <w:sz w:val="24"/>
          <w:szCs w:val="24"/>
        </w:rPr>
        <w:t>:</w:t>
      </w:r>
    </w:p>
    <w:p w14:paraId="716BC226" w14:textId="6B0AB8F2" w:rsidR="00C951B6" w:rsidRPr="00AD0E1C" w:rsidRDefault="00C951B6" w:rsidP="00D9780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AD0E1C">
        <w:rPr>
          <w:rFonts w:ascii="Arial" w:hAnsi="Arial" w:cs="Arial"/>
          <w:spacing w:val="3"/>
          <w:sz w:val="24"/>
          <w:szCs w:val="24"/>
        </w:rPr>
        <w:t>Przedmiotem zamówienia jest remont pokryw mieszaczy w Zakładzie Produkcji Wody Miedwie zgodnie z projektem opracowanym przez Pracownie Projektową Just Projekt z siedzibą 70-542 Szczecin, ul. Rynek Sienny 3/6/.</w:t>
      </w:r>
    </w:p>
    <w:p w14:paraId="540025C0" w14:textId="16CDBB94" w:rsidR="00A335C9" w:rsidRPr="00AD0E1C" w:rsidRDefault="007E5B57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0E1C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AD0E1C">
        <w:rPr>
          <w:rFonts w:ascii="Arial" w:hAnsi="Arial" w:cs="Arial"/>
          <w:b/>
          <w:spacing w:val="-3"/>
          <w:sz w:val="24"/>
          <w:szCs w:val="24"/>
        </w:rPr>
        <w:t xml:space="preserve"> obejmuje:</w:t>
      </w:r>
    </w:p>
    <w:p w14:paraId="6CC783DC" w14:textId="5865CAFE" w:rsidR="009309F5" w:rsidRPr="00AD0E1C" w:rsidRDefault="00AD0E1C" w:rsidP="00D9780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spacing w:val="3"/>
          <w:sz w:val="24"/>
          <w:szCs w:val="24"/>
        </w:rPr>
        <w:t>r</w:t>
      </w:r>
      <w:r w:rsidR="00C951B6" w:rsidRPr="00AD0E1C">
        <w:rPr>
          <w:rFonts w:ascii="Arial" w:hAnsi="Arial" w:cs="Arial"/>
          <w:spacing w:val="3"/>
          <w:sz w:val="24"/>
          <w:szCs w:val="24"/>
        </w:rPr>
        <w:t>emont pokryw mieszaczy w Zakładzie Produkcji Wody Miedwie</w:t>
      </w:r>
      <w:r w:rsidR="005475A4" w:rsidRPr="00AD0E1C">
        <w:rPr>
          <w:rFonts w:ascii="Arial" w:hAnsi="Arial" w:cs="Arial"/>
          <w:spacing w:val="3"/>
          <w:sz w:val="24"/>
          <w:szCs w:val="24"/>
        </w:rPr>
        <w:t xml:space="preserve">, zgodnie </w:t>
      </w:r>
      <w:r w:rsidR="00105154">
        <w:rPr>
          <w:rFonts w:ascii="Arial" w:hAnsi="Arial" w:cs="Arial"/>
          <w:spacing w:val="3"/>
          <w:sz w:val="24"/>
          <w:szCs w:val="24"/>
        </w:rPr>
        <w:br/>
      </w:r>
      <w:r w:rsidR="005475A4" w:rsidRPr="00AD0E1C">
        <w:rPr>
          <w:rFonts w:ascii="Arial" w:hAnsi="Arial" w:cs="Arial"/>
          <w:spacing w:val="3"/>
          <w:sz w:val="24"/>
          <w:szCs w:val="24"/>
        </w:rPr>
        <w:t>z dokumentacją techniczną stanowiącą Załącznik nr 7 do SWZ.</w:t>
      </w:r>
    </w:p>
    <w:p w14:paraId="679B8927" w14:textId="77777777" w:rsidR="009309F5" w:rsidRPr="00AD0E1C" w:rsidRDefault="00A970EF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AD0E1C" w:rsidRDefault="00EA1D89" w:rsidP="00D97800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AD0E1C" w:rsidRDefault="00B0135C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0E1C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05F0A364" w:rsidR="004654DD" w:rsidRDefault="0067198F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D0E1C">
        <w:rPr>
          <w:rFonts w:ascii="Arial" w:hAnsi="Arial" w:cs="Arial"/>
          <w:sz w:val="24"/>
          <w:szCs w:val="24"/>
          <w:lang w:eastAsia="en-US"/>
        </w:rPr>
        <w:t xml:space="preserve">Zamawiający nie zastrzega do osobistego wykonania przez </w:t>
      </w:r>
      <w:r w:rsidR="00853B46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2DAAB704" w14:textId="77777777" w:rsidR="00322169" w:rsidRPr="00B360A6" w:rsidRDefault="00322169" w:rsidP="00A743F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6AB363" w14:textId="77777777" w:rsidR="00EA1D89" w:rsidRPr="00B360A6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B360A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B360A6">
        <w:rPr>
          <w:rFonts w:ascii="Arial" w:hAnsi="Arial" w:cs="Arial"/>
          <w:color w:val="auto"/>
        </w:rPr>
        <w:t>ZAŁĄCZNIKI</w:t>
      </w:r>
    </w:p>
    <w:p w14:paraId="598A790A" w14:textId="77777777" w:rsidR="00F77A5B" w:rsidRPr="00B360A6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Pr="00B360A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1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2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3</w:t>
      </w:r>
      <w:r w:rsidRPr="00B360A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B360A6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B360A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5</w:t>
      </w:r>
      <w:r w:rsidRPr="00B360A6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B360A6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6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75FC64E7" w14:textId="022D591A" w:rsidR="0060016F" w:rsidRPr="00B360A6" w:rsidRDefault="009309F5" w:rsidP="00E92A5A">
      <w:pPr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ZAŁĄCZNIKI NR 7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</w:r>
      <w:r w:rsidR="005276E1" w:rsidRPr="00B360A6">
        <w:rPr>
          <w:rFonts w:ascii="Arial" w:hAnsi="Arial" w:cs="Arial"/>
          <w:bCs/>
          <w:sz w:val="24"/>
          <w:szCs w:val="24"/>
        </w:rPr>
        <w:t>dokumentacja techniczna</w:t>
      </w:r>
    </w:p>
    <w:sectPr w:rsidR="0060016F" w:rsidRPr="00B360A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5714" w14:textId="77777777" w:rsidR="007D3245" w:rsidRDefault="007D3245" w:rsidP="00EF0384">
      <w:r>
        <w:separator/>
      </w:r>
    </w:p>
  </w:endnote>
  <w:endnote w:type="continuationSeparator" w:id="0">
    <w:p w14:paraId="3871B6D2" w14:textId="77777777" w:rsidR="007D3245" w:rsidRDefault="007D324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6CBD" w14:textId="77777777" w:rsidR="007D3245" w:rsidRDefault="007D3245" w:rsidP="00EF0384">
      <w:r>
        <w:separator/>
      </w:r>
    </w:p>
  </w:footnote>
  <w:footnote w:type="continuationSeparator" w:id="0">
    <w:p w14:paraId="5E02FBF5" w14:textId="77777777" w:rsidR="007D3245" w:rsidRDefault="007D324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26E4023B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14584C">
      <w:rPr>
        <w:rFonts w:ascii="Arial" w:hAnsi="Arial" w:cs="Arial"/>
        <w:b/>
      </w:rPr>
      <w:t>7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14584C">
      <w:rPr>
        <w:rFonts w:ascii="Arial" w:hAnsi="Arial" w:cs="Arial"/>
        <w:b/>
      </w:rPr>
      <w:t>3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6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7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5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56"/>
  </w:num>
  <w:num w:numId="4">
    <w:abstractNumId w:val="14"/>
  </w:num>
  <w:num w:numId="5">
    <w:abstractNumId w:val="39"/>
  </w:num>
  <w:num w:numId="6">
    <w:abstractNumId w:val="31"/>
  </w:num>
  <w:num w:numId="7">
    <w:abstractNumId w:val="11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26"/>
  </w:num>
  <w:num w:numId="11">
    <w:abstractNumId w:val="46"/>
    <w:lvlOverride w:ilvl="0">
      <w:startOverride w:val="1"/>
    </w:lvlOverride>
  </w:num>
  <w:num w:numId="12">
    <w:abstractNumId w:val="6"/>
  </w:num>
  <w:num w:numId="13">
    <w:abstractNumId w:val="12"/>
  </w:num>
  <w:num w:numId="14">
    <w:abstractNumId w:val="30"/>
  </w:num>
  <w:num w:numId="15">
    <w:abstractNumId w:val="53"/>
  </w:num>
  <w:num w:numId="16">
    <w:abstractNumId w:val="37"/>
  </w:num>
  <w:num w:numId="17">
    <w:abstractNumId w:val="13"/>
  </w:num>
  <w:num w:numId="18">
    <w:abstractNumId w:val="38"/>
  </w:num>
  <w:num w:numId="19">
    <w:abstractNumId w:val="52"/>
  </w:num>
  <w:num w:numId="20">
    <w:abstractNumId w:val="51"/>
    <w:lvlOverride w:ilvl="0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19"/>
  </w:num>
  <w:num w:numId="25">
    <w:abstractNumId w:val="42"/>
  </w:num>
  <w:num w:numId="26">
    <w:abstractNumId w:val="36"/>
  </w:num>
  <w:num w:numId="27">
    <w:abstractNumId w:val="47"/>
  </w:num>
  <w:num w:numId="28">
    <w:abstractNumId w:val="41"/>
  </w:num>
  <w:num w:numId="29">
    <w:abstractNumId w:val="15"/>
  </w:num>
  <w:num w:numId="30">
    <w:abstractNumId w:val="48"/>
  </w:num>
  <w:num w:numId="31">
    <w:abstractNumId w:val="57"/>
  </w:num>
  <w:num w:numId="32">
    <w:abstractNumId w:val="55"/>
  </w:num>
  <w:num w:numId="33">
    <w:abstractNumId w:val="27"/>
  </w:num>
  <w:num w:numId="34">
    <w:abstractNumId w:val="9"/>
  </w:num>
  <w:num w:numId="35">
    <w:abstractNumId w:val="44"/>
  </w:num>
  <w:num w:numId="36">
    <w:abstractNumId w:val="18"/>
  </w:num>
  <w:num w:numId="37">
    <w:abstractNumId w:val="33"/>
  </w:num>
  <w:num w:numId="38">
    <w:abstractNumId w:val="35"/>
  </w:num>
  <w:num w:numId="39">
    <w:abstractNumId w:val="32"/>
  </w:num>
  <w:num w:numId="40">
    <w:abstractNumId w:val="40"/>
  </w:num>
  <w:num w:numId="41">
    <w:abstractNumId w:val="43"/>
  </w:num>
  <w:num w:numId="42">
    <w:abstractNumId w:val="22"/>
  </w:num>
  <w:num w:numId="43">
    <w:abstractNumId w:val="29"/>
  </w:num>
  <w:num w:numId="44">
    <w:abstractNumId w:val="17"/>
  </w:num>
  <w:num w:numId="45">
    <w:abstractNumId w:val="49"/>
  </w:num>
  <w:num w:numId="46">
    <w:abstractNumId w:val="16"/>
  </w:num>
  <w:num w:numId="47">
    <w:abstractNumId w:val="23"/>
  </w:num>
  <w:num w:numId="48">
    <w:abstractNumId w:val="45"/>
  </w:num>
  <w:num w:numId="4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4"/>
  </w:num>
  <w:num w:numId="51">
    <w:abstractNumId w:val="10"/>
  </w:num>
  <w:num w:numId="52">
    <w:abstractNumId w:val="7"/>
  </w:num>
  <w:num w:numId="53">
    <w:abstractNumId w:val="21"/>
  </w:num>
  <w:num w:numId="54">
    <w:abstractNumId w:val="5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3CF9"/>
    <w:rsid w:val="00484DB7"/>
    <w:rsid w:val="0049359C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3D96"/>
    <w:rsid w:val="004B4FB6"/>
    <w:rsid w:val="004B5AC3"/>
    <w:rsid w:val="004C018F"/>
    <w:rsid w:val="004C13B3"/>
    <w:rsid w:val="004C2D74"/>
    <w:rsid w:val="004C4E9C"/>
    <w:rsid w:val="004C5947"/>
    <w:rsid w:val="004C5F63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C1FCF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245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6F7D"/>
    <w:rsid w:val="008403B3"/>
    <w:rsid w:val="00842BF6"/>
    <w:rsid w:val="00846842"/>
    <w:rsid w:val="008500AB"/>
    <w:rsid w:val="00851954"/>
    <w:rsid w:val="00853B4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4339"/>
    <w:rsid w:val="009636DA"/>
    <w:rsid w:val="00965FF8"/>
    <w:rsid w:val="00967662"/>
    <w:rsid w:val="00970F18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373B"/>
    <w:rsid w:val="009E57CA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4024"/>
    <w:rsid w:val="00BB52D5"/>
    <w:rsid w:val="00BB7151"/>
    <w:rsid w:val="00BC0F59"/>
    <w:rsid w:val="00BC3215"/>
    <w:rsid w:val="00BC3647"/>
    <w:rsid w:val="00BC432D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3305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4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1B6F-E4EC-4F57-9329-D1F33793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21</Pages>
  <Words>7945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181</cp:revision>
  <cp:lastPrinted>2022-02-18T08:46:00Z</cp:lastPrinted>
  <dcterms:created xsi:type="dcterms:W3CDTF">2021-06-29T06:40:00Z</dcterms:created>
  <dcterms:modified xsi:type="dcterms:W3CDTF">2023-02-22T08:24:00Z</dcterms:modified>
</cp:coreProperties>
</file>