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47AA9FAA" w:rsidR="00996807" w:rsidRPr="00B95769" w:rsidRDefault="00A8243D" w:rsidP="007A40E7">
      <w:pPr>
        <w:spacing w:after="120" w:line="360" w:lineRule="auto"/>
        <w:jc w:val="right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Zgierz, dn</w:t>
      </w:r>
      <w:r w:rsidR="00496378" w:rsidRPr="00B95769">
        <w:rPr>
          <w:bCs/>
          <w:sz w:val="22"/>
          <w:szCs w:val="22"/>
        </w:rPr>
        <w:t>.</w:t>
      </w:r>
      <w:r w:rsidR="007A40E7" w:rsidRPr="00B95769">
        <w:rPr>
          <w:bCs/>
          <w:sz w:val="22"/>
          <w:szCs w:val="22"/>
        </w:rPr>
        <w:t xml:space="preserve"> </w:t>
      </w:r>
      <w:r w:rsidR="001B402B">
        <w:rPr>
          <w:bCs/>
          <w:sz w:val="22"/>
          <w:szCs w:val="22"/>
        </w:rPr>
        <w:t>08.</w:t>
      </w:r>
      <w:r w:rsidR="005E6EAB">
        <w:rPr>
          <w:bCs/>
          <w:sz w:val="22"/>
          <w:szCs w:val="22"/>
        </w:rPr>
        <w:t>02.2</w:t>
      </w:r>
      <w:r w:rsidR="00E169AD">
        <w:rPr>
          <w:bCs/>
          <w:sz w:val="22"/>
          <w:szCs w:val="22"/>
        </w:rPr>
        <w:t>023</w:t>
      </w:r>
      <w:r w:rsidR="00372AF0">
        <w:rPr>
          <w:bCs/>
          <w:sz w:val="22"/>
          <w:szCs w:val="22"/>
        </w:rPr>
        <w:t xml:space="preserve"> r</w:t>
      </w:r>
      <w:r w:rsidR="00930DDE">
        <w:rPr>
          <w:bCs/>
          <w:sz w:val="22"/>
          <w:szCs w:val="22"/>
        </w:rPr>
        <w:t>.</w:t>
      </w:r>
    </w:p>
    <w:p w14:paraId="1BACBF2E" w14:textId="677DFCEB" w:rsidR="009228C7" w:rsidRPr="00B95769" w:rsidRDefault="0062377A" w:rsidP="00F94ED3">
      <w:pPr>
        <w:spacing w:after="120" w:line="360" w:lineRule="auto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ZP.272</w:t>
      </w:r>
      <w:r w:rsidR="00B95769">
        <w:rPr>
          <w:bCs/>
          <w:sz w:val="22"/>
          <w:szCs w:val="22"/>
        </w:rPr>
        <w:t>.</w:t>
      </w:r>
      <w:r w:rsidR="00375F77">
        <w:rPr>
          <w:bCs/>
          <w:sz w:val="22"/>
          <w:szCs w:val="22"/>
        </w:rPr>
        <w:t>1</w:t>
      </w:r>
      <w:r w:rsidR="00E169AD">
        <w:rPr>
          <w:bCs/>
          <w:sz w:val="22"/>
          <w:szCs w:val="22"/>
        </w:rPr>
        <w:t>4.2022.RF/</w:t>
      </w:r>
      <w:r w:rsidR="001B402B">
        <w:rPr>
          <w:bCs/>
          <w:sz w:val="22"/>
          <w:szCs w:val="22"/>
        </w:rPr>
        <w:t>25</w:t>
      </w:r>
    </w:p>
    <w:p w14:paraId="2C1DD629" w14:textId="5328E9B6" w:rsidR="009D695B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ZAWIADOMIENIE O UNIEWAŻNIENIU</w:t>
      </w:r>
      <w:r w:rsidR="00E169AD">
        <w:rPr>
          <w:b/>
          <w:sz w:val="22"/>
          <w:szCs w:val="22"/>
          <w:u w:val="single"/>
        </w:rPr>
        <w:t xml:space="preserve"> POSTĘPOWANIA</w:t>
      </w:r>
    </w:p>
    <w:p w14:paraId="0A67ABDF" w14:textId="21B2E3A1" w:rsidR="007D3C17" w:rsidRPr="00E74A45" w:rsidRDefault="00E169A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 ramach </w:t>
      </w:r>
      <w:r w:rsidR="007D3C17">
        <w:rPr>
          <w:b/>
          <w:sz w:val="22"/>
          <w:szCs w:val="22"/>
          <w:u w:val="single"/>
        </w:rPr>
        <w:t xml:space="preserve">zadania nr </w:t>
      </w:r>
      <w:r>
        <w:rPr>
          <w:b/>
          <w:sz w:val="22"/>
          <w:szCs w:val="22"/>
          <w:u w:val="single"/>
        </w:rPr>
        <w:t>4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77F92D01" w14:textId="5486D366" w:rsidR="00C77F5D" w:rsidRPr="00C77F5D" w:rsidRDefault="00A8243D" w:rsidP="0055793C">
      <w:pPr>
        <w:tabs>
          <w:tab w:val="right" w:pos="9792"/>
        </w:tabs>
        <w:ind w:firstLine="426"/>
        <w:jc w:val="both"/>
        <w:rPr>
          <w:bCs/>
          <w:i/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="00B95769">
        <w:rPr>
          <w:sz w:val="22"/>
          <w:szCs w:val="22"/>
        </w:rPr>
        <w:t xml:space="preserve">ust. 1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</w:t>
      </w:r>
      <w:r w:rsidR="002B64D6">
        <w:rPr>
          <w:sz w:val="22"/>
          <w:szCs w:val="22"/>
        </w:rPr>
        <w:t xml:space="preserve">Dz.U. </w:t>
      </w:r>
      <w:r w:rsidR="00EA0819">
        <w:rPr>
          <w:sz w:val="22"/>
          <w:szCs w:val="22"/>
        </w:rPr>
        <w:t xml:space="preserve">z </w:t>
      </w:r>
      <w:r w:rsidR="002B64D6">
        <w:rPr>
          <w:sz w:val="22"/>
          <w:szCs w:val="22"/>
        </w:rPr>
        <w:t>202</w:t>
      </w:r>
      <w:r w:rsidR="00E169AD">
        <w:rPr>
          <w:sz w:val="22"/>
          <w:szCs w:val="22"/>
        </w:rPr>
        <w:t>2</w:t>
      </w:r>
      <w:r w:rsidR="002B64D6">
        <w:rPr>
          <w:sz w:val="22"/>
          <w:szCs w:val="22"/>
        </w:rPr>
        <w:t xml:space="preserve"> poz. 1</w:t>
      </w:r>
      <w:r w:rsidR="00E169AD">
        <w:rPr>
          <w:sz w:val="22"/>
          <w:szCs w:val="22"/>
        </w:rPr>
        <w:t>710</w:t>
      </w:r>
      <w:r w:rsidR="00A61E51">
        <w:rPr>
          <w:sz w:val="22"/>
          <w:szCs w:val="22"/>
        </w:rPr>
        <w:t xml:space="preserve"> ze zm.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7D3C17">
        <w:rPr>
          <w:sz w:val="22"/>
          <w:szCs w:val="22"/>
        </w:rPr>
        <w:t>zawiadamia</w:t>
      </w:r>
      <w:r w:rsidR="007D3C17" w:rsidRPr="00E74A45">
        <w:rPr>
          <w:sz w:val="22"/>
          <w:szCs w:val="22"/>
        </w:rPr>
        <w:t xml:space="preserve"> o </w:t>
      </w:r>
      <w:r w:rsidR="007D3C17">
        <w:rPr>
          <w:sz w:val="22"/>
          <w:szCs w:val="22"/>
        </w:rPr>
        <w:t xml:space="preserve">unieważnieniu  postępowania </w:t>
      </w:r>
      <w:r w:rsidR="007D3C17" w:rsidRPr="00E74A45">
        <w:rPr>
          <w:sz w:val="22"/>
          <w:szCs w:val="22"/>
        </w:rPr>
        <w:t>prowadzo</w:t>
      </w:r>
      <w:r w:rsidR="007D3C17">
        <w:rPr>
          <w:sz w:val="22"/>
          <w:szCs w:val="22"/>
        </w:rPr>
        <w:t xml:space="preserve">nego </w:t>
      </w:r>
      <w:r w:rsidR="007D3C17" w:rsidRPr="00E74A45">
        <w:rPr>
          <w:sz w:val="22"/>
          <w:szCs w:val="22"/>
        </w:rPr>
        <w:t xml:space="preserve">w trybie </w:t>
      </w:r>
      <w:r w:rsidR="00663890">
        <w:rPr>
          <w:sz w:val="22"/>
          <w:szCs w:val="22"/>
        </w:rPr>
        <w:t>przetargu nieograniczonego na podstawie art. 132 Ustawy, pn</w:t>
      </w:r>
      <w:r w:rsidR="007D3C17">
        <w:rPr>
          <w:sz w:val="22"/>
          <w:szCs w:val="22"/>
        </w:rPr>
        <w:t xml:space="preserve">.: </w:t>
      </w:r>
      <w:bookmarkStart w:id="0" w:name="_Hlk105073862"/>
      <w:r w:rsidR="007D3C17" w:rsidRPr="00EE31C1">
        <w:rPr>
          <w:b/>
          <w:bCs/>
          <w:sz w:val="22"/>
          <w:szCs w:val="22"/>
        </w:rPr>
        <w:t>„</w:t>
      </w:r>
      <w:r w:rsidR="00663890">
        <w:rPr>
          <w:b/>
          <w:bCs/>
          <w:sz w:val="22"/>
          <w:szCs w:val="22"/>
        </w:rPr>
        <w:t xml:space="preserve">Zimowe utrzymanie dróg”,                             </w:t>
      </w:r>
      <w:r w:rsidR="00663890" w:rsidRPr="00663890">
        <w:rPr>
          <w:sz w:val="22"/>
          <w:szCs w:val="22"/>
        </w:rPr>
        <w:t>w ramach zadania nr</w:t>
      </w:r>
      <w:r w:rsidR="00663890">
        <w:rPr>
          <w:b/>
          <w:bCs/>
          <w:sz w:val="22"/>
          <w:szCs w:val="22"/>
        </w:rPr>
        <w:t xml:space="preserve"> 4, </w:t>
      </w:r>
      <w:r w:rsidR="00663890" w:rsidRPr="00663890">
        <w:rPr>
          <w:sz w:val="22"/>
          <w:szCs w:val="22"/>
        </w:rPr>
        <w:t>pn.:</w:t>
      </w:r>
      <w:r w:rsidR="00663890">
        <w:rPr>
          <w:b/>
          <w:bCs/>
          <w:sz w:val="22"/>
          <w:szCs w:val="22"/>
        </w:rPr>
        <w:t xml:space="preserve"> „Zimowe utrzymanie pasów drogowych dróg powiatowych na terenie miasta Zgierza</w:t>
      </w:r>
      <w:bookmarkEnd w:id="0"/>
      <w:r w:rsidR="00663890">
        <w:rPr>
          <w:b/>
          <w:bCs/>
          <w:sz w:val="22"/>
          <w:szCs w:val="22"/>
        </w:rPr>
        <w:t>”</w:t>
      </w:r>
    </w:p>
    <w:p w14:paraId="687BE2D9" w14:textId="0366B9C1" w:rsidR="00547AFD" w:rsidRDefault="00E11188" w:rsidP="003A05D6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</w:p>
    <w:p w14:paraId="16F0D365" w14:textId="77777777" w:rsidR="007D3C17" w:rsidRDefault="007D3C17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39F900E2" w14:textId="77777777" w:rsidR="00065B06" w:rsidRDefault="00065B06" w:rsidP="00065B06">
      <w:pPr>
        <w:pStyle w:val="Standard"/>
        <w:tabs>
          <w:tab w:val="left" w:pos="0"/>
        </w:tabs>
        <w:jc w:val="both"/>
        <w:rPr>
          <w:sz w:val="22"/>
        </w:rPr>
      </w:pPr>
      <w:r>
        <w:rPr>
          <w:sz w:val="22"/>
        </w:rPr>
        <w:t>art. 255 pkt 7) Ustawy – „Zamawiający unieważnia postępowanie o udzielenie zamówienia, jeżeli wykonawca nie wniósł wymaganego zabezpieczenia należytego wykonania umowy lub uchylił się od zawarcia umowy                   w sprawie zamówienia publicznego, z uwzględnieniem art. 263”.</w:t>
      </w:r>
    </w:p>
    <w:p w14:paraId="20A3A91B" w14:textId="77777777" w:rsidR="00065B06" w:rsidRDefault="00065B06" w:rsidP="00065B06">
      <w:pPr>
        <w:pStyle w:val="Standard"/>
        <w:tabs>
          <w:tab w:val="left" w:pos="0"/>
        </w:tabs>
        <w:jc w:val="both"/>
        <w:rPr>
          <w:sz w:val="22"/>
        </w:rPr>
      </w:pPr>
    </w:p>
    <w:p w14:paraId="3BB11329" w14:textId="77777777" w:rsidR="00065B06" w:rsidRDefault="00065B06" w:rsidP="00065B06">
      <w:pPr>
        <w:pStyle w:val="Standard"/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W dniu 13.01.2023 r., Zamawiający za pośrednictwem platformy zakupowej przesłał do Wykonawców informację o wyborze najkorzystniejszej oferty w postępowaniu o udzielenie zamówienia publicznego prowadzonego w trybie przetargu nieograniczonego na podstawie art. 132 Ustawy, pn.: </w:t>
      </w:r>
      <w:r>
        <w:rPr>
          <w:b/>
          <w:bCs/>
          <w:sz w:val="22"/>
        </w:rPr>
        <w:t>„ Zimowe utrzymanie dróg”,</w:t>
      </w:r>
      <w:r>
        <w:rPr>
          <w:sz w:val="22"/>
        </w:rPr>
        <w:t xml:space="preserve"> w ramach zadania </w:t>
      </w:r>
      <w:r>
        <w:rPr>
          <w:b/>
          <w:bCs/>
          <w:sz w:val="22"/>
        </w:rPr>
        <w:t>nr 4,</w:t>
      </w:r>
      <w:r>
        <w:rPr>
          <w:sz w:val="22"/>
        </w:rPr>
        <w:t xml:space="preserve"> p</w:t>
      </w:r>
      <w:r>
        <w:rPr>
          <w:rFonts w:eastAsia="SimSun"/>
          <w:bCs/>
          <w:sz w:val="22"/>
          <w:lang w:eastAsia="zh-CN" w:bidi="hi-IN"/>
        </w:rPr>
        <w:t>n.:</w:t>
      </w:r>
      <w:r>
        <w:rPr>
          <w:rFonts w:eastAsia="SimSun"/>
          <w:b/>
          <w:sz w:val="22"/>
          <w:lang w:eastAsia="zh-CN" w:bidi="hi-IN"/>
        </w:rPr>
        <w:t xml:space="preserve"> </w:t>
      </w:r>
      <w:r>
        <w:rPr>
          <w:b/>
          <w:bCs/>
          <w:sz w:val="22"/>
          <w:szCs w:val="22"/>
        </w:rPr>
        <w:t xml:space="preserve">„Zimowe utrzymanie pasów drogowych dróg powiatowych na terenie miasta Zgierza”. </w:t>
      </w:r>
      <w:r>
        <w:rPr>
          <w:sz w:val="22"/>
          <w:szCs w:val="22"/>
        </w:rPr>
        <w:t>Jako najkorzystniejsza wybrana została oferta nr</w:t>
      </w:r>
      <w:r>
        <w:rPr>
          <w:b/>
          <w:bCs/>
          <w:sz w:val="22"/>
          <w:szCs w:val="22"/>
        </w:rPr>
        <w:t xml:space="preserve"> 2 </w:t>
      </w:r>
      <w:r>
        <w:rPr>
          <w:color w:val="000000"/>
          <w:sz w:val="22"/>
        </w:rPr>
        <w:t xml:space="preserve">złożona przez </w:t>
      </w:r>
      <w:bookmarkStart w:id="1" w:name="_Hlk125528396"/>
      <w:r>
        <w:rPr>
          <w:b/>
          <w:bCs/>
          <w:color w:val="000000"/>
          <w:sz w:val="22"/>
        </w:rPr>
        <w:t>Pana Mariusza Malarczyka</w:t>
      </w:r>
      <w:r>
        <w:rPr>
          <w:color w:val="000000"/>
          <w:sz w:val="22"/>
        </w:rPr>
        <w:t xml:space="preserve"> prowadzącego działalność gospodarczą pod nazwą: </w:t>
      </w:r>
      <w:r>
        <w:rPr>
          <w:b/>
          <w:bCs/>
          <w:color w:val="000000"/>
          <w:sz w:val="22"/>
        </w:rPr>
        <w:t>HUBERTUS Mariusz Malarczyk,                            al. Piłsudskiego 67/49, 90-329 Łódź.</w:t>
      </w:r>
    </w:p>
    <w:bookmarkEnd w:id="1"/>
    <w:p w14:paraId="1338DE8B" w14:textId="77777777" w:rsidR="00065B06" w:rsidRDefault="00065B06" w:rsidP="00065B06">
      <w:pPr>
        <w:pStyle w:val="Standard"/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5A3B29D5" w14:textId="77777777" w:rsidR="001B402B" w:rsidRDefault="00065B06" w:rsidP="001B402B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dniu 23.01.2023 r., w/w Wykonawca poprzez platformę zakupową, poinformował Zamawiającego, że  ze względu na powzięte w międzyczasie inne zobowiązania nie może podpisać umowy na realizację przedmiotowego zamówienia obejmującego zadanie nr 4</w:t>
      </w:r>
      <w:r w:rsidR="001B402B">
        <w:rPr>
          <w:sz w:val="22"/>
          <w:szCs w:val="22"/>
        </w:rPr>
        <w:t>, co jest jednoznaczne z uchyleniem się od zawarcia umowy.</w:t>
      </w:r>
    </w:p>
    <w:p w14:paraId="07BE3B63" w14:textId="2AC0C006" w:rsidR="00065B06" w:rsidRDefault="001B402B" w:rsidP="00065B06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F903FB" w14:textId="77777777" w:rsidR="00065B06" w:rsidRDefault="00065B06" w:rsidP="00065B06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Wykonawcy - </w:t>
      </w:r>
      <w:r>
        <w:rPr>
          <w:b/>
          <w:bCs/>
          <w:color w:val="000000"/>
          <w:sz w:val="22"/>
          <w:szCs w:val="22"/>
        </w:rPr>
        <w:t>Pana Mariusza Malarczyka</w:t>
      </w:r>
      <w:r>
        <w:rPr>
          <w:color w:val="000000"/>
          <w:sz w:val="22"/>
          <w:szCs w:val="22"/>
        </w:rPr>
        <w:t xml:space="preserve"> prowadzącego działalność gospodarczą pod nazwą: </w:t>
      </w:r>
      <w:r>
        <w:rPr>
          <w:b/>
          <w:bCs/>
          <w:color w:val="000000"/>
          <w:sz w:val="22"/>
          <w:szCs w:val="22"/>
        </w:rPr>
        <w:t xml:space="preserve">HUBERTUS Mariusz Malarczyk, al. Piłsudskiego 67/49, 90-329 Łódź, </w:t>
      </w:r>
      <w:r>
        <w:rPr>
          <w:color w:val="000000"/>
          <w:sz w:val="22"/>
          <w:szCs w:val="22"/>
        </w:rPr>
        <w:t>który odmówił podpisania umowy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uzyskała 100,00 pkt obliczonych zgodnie z przyjętym w SWZ kryterium i jego wagą: cena – 60%, czas reakcji – 40%. Kolejną najkorzystniejszą ofertą z ilością 83,65 pkt jest oferta Wykonawcy </w:t>
      </w:r>
      <w:bookmarkStart w:id="2" w:name="_Hlk126571189"/>
      <w:r>
        <w:rPr>
          <w:sz w:val="22"/>
          <w:szCs w:val="22"/>
        </w:rPr>
        <w:t xml:space="preserve">K2A Sp. z o.o., ul. Marszałkowska 58, 00-454 Warszawa. </w:t>
      </w:r>
    </w:p>
    <w:bookmarkEnd w:id="2"/>
    <w:p w14:paraId="171A84CF" w14:textId="77777777" w:rsidR="00065B06" w:rsidRDefault="00065B06" w:rsidP="00065B06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6F65BDC2" w14:textId="361DF781" w:rsidR="00065B06" w:rsidRDefault="00065B06" w:rsidP="00065B06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Zgodnie z art. 255 pkt. 7</w:t>
      </w:r>
      <w:r w:rsidR="004E586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</w:rPr>
        <w:t>U</w:t>
      </w:r>
      <w:r>
        <w:rPr>
          <w:sz w:val="22"/>
          <w:szCs w:val="22"/>
        </w:rPr>
        <w:t>stawy, Zamawiający unieważnia postępowanie o udzielenie zamówienia, jeżeli Wykonawca nie wniósł wymaganego zabezpieczenia należytego wykonania umowy lub uchylił się od zawarcia umowy w sprawie zamówienia publicznego, z uwzględnieniem art. 263.</w:t>
      </w:r>
    </w:p>
    <w:p w14:paraId="7B1FFA41" w14:textId="77777777" w:rsidR="00387389" w:rsidRDefault="00065B06" w:rsidP="00065B06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 wynika z omawianego przepisu, uchylenie się zwycięskiego oferenta od zawarcia umowy w sprawie zamówienia publicznego stanowi samoistną przesłankę unieważnienia postępowania. Odesłanie do art. 263 wskazuje na możliwość dokonania przez zamawiającego ponownego badania i oceny ofert spośród ofert pozostałych w postępowaniu wykonawców jako alternatywy dla unieważnienia postępowania. Decyzja                            o odstąpieniu od unieważnienia postępowania należy do swobodnego uznania zamawiającego. Zamawiający może bowiem, przy zaistnieniu przewidzianego w art. 263 stanu faktycznego, dokonać w ramach uznania wyboru jednego z dopuszczalnych w tym przepisie następstw prawnych: ponownie wybrać ofertę spośród pozostałych ofert lub unieważnić postępowanie. Ponowny wybór oferty jest możliwy jedynie w przypadku, gdy nie zachodzi inna obligatoryjna podstawa unieważnienia postępowania </w:t>
      </w:r>
      <w:bookmarkStart w:id="3" w:name="_Hlk126568437"/>
      <w:r>
        <w:rPr>
          <w:sz w:val="22"/>
          <w:szCs w:val="22"/>
        </w:rPr>
        <w:t xml:space="preserve">(komentarz do Prawa Zamówień Publicznych Urzędu Zamówień Publicznych). </w:t>
      </w:r>
      <w:bookmarkEnd w:id="3"/>
      <w:r>
        <w:rPr>
          <w:sz w:val="22"/>
          <w:szCs w:val="22"/>
        </w:rPr>
        <w:t xml:space="preserve">W omawianym przypadku cena kolejnej najkorzystniejszej oferty, tj. oferty złożonej przez Wykonawcę: K2A Sp. z o.o., ul. Marszałkowska 58, 00-454 Warszawa, wynosi </w:t>
      </w:r>
    </w:p>
    <w:p w14:paraId="1D921479" w14:textId="77777777" w:rsidR="00387389" w:rsidRDefault="00387389" w:rsidP="00065B06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0A01F3D9" w14:textId="77777777" w:rsidR="00387389" w:rsidRDefault="00387389" w:rsidP="00065B06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48D6361B" w14:textId="77777777" w:rsidR="00387389" w:rsidRDefault="00387389" w:rsidP="00065B06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2D2D9D09" w14:textId="6225FBA2" w:rsidR="00065B06" w:rsidRDefault="00065B06" w:rsidP="00065B06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377 836,35 zł i przekracza kwotę jaką Zamawiający przeznaczył na sfinansowanie zamówienia. Zgodnie z art. 255 pkt 3</w:t>
      </w:r>
      <w:r w:rsidR="00AB2477">
        <w:rPr>
          <w:sz w:val="22"/>
          <w:szCs w:val="22"/>
        </w:rPr>
        <w:t>)</w:t>
      </w:r>
      <w:r>
        <w:rPr>
          <w:sz w:val="22"/>
          <w:szCs w:val="22"/>
        </w:rPr>
        <w:t xml:space="preserve"> Ustawy, Zamawiający unieważnia postępowanie o udzielenie zamówienia publicznego, jeżeli cena lub koszt najkorzystniejszej oferty lub oferta z najniższą ceną przewyższa kwotę, którą zamawiający zamierza przeznaczyć na sfinansowanie zamówienia, chyba że zamawiający może zwiększyć tę kwotę do ceny lub kosztu najkorzystniejszej oferty. Oznacza to, że decyzja o zwiększeniu tej kwoty jest oparta na swobodnym uznaniu zamawiającego. Zatem wyrażenie „może zwiększyć t</w:t>
      </w:r>
      <w:r w:rsidR="00DE3005">
        <w:rPr>
          <w:sz w:val="22"/>
          <w:szCs w:val="22"/>
        </w:rPr>
        <w:t>ę</w:t>
      </w:r>
      <w:r>
        <w:rPr>
          <w:sz w:val="22"/>
          <w:szCs w:val="22"/>
        </w:rPr>
        <w:t xml:space="preserve"> kwotę do ceny lub kosztu najkorzystniejszej oferty” należy interpretować jako uprawienie zamawiającego (komentarz do Prawa Zamówień Publicznych Urzędu Zamówień Publicznych). Zamawiający podejmując decyzję o braku możliwości zwiększenia kwoty, którą zamawiający zamierza przeznaczyć na sfinansowanie zamówienia do ceny najkorzystniejszej oferty brał pod uwagę celowość i efektywność gospodarowania środkami publicznymi. Zgodnie z art. 44 ust. 3 pkt 1 ustawy z dnia 27 sierpnia 2009 r. o finansach</w:t>
      </w:r>
      <w:r w:rsidR="00CC3793">
        <w:rPr>
          <w:sz w:val="22"/>
          <w:szCs w:val="22"/>
        </w:rPr>
        <w:t xml:space="preserve"> publicznych</w:t>
      </w:r>
      <w:r>
        <w:rPr>
          <w:sz w:val="22"/>
          <w:szCs w:val="22"/>
        </w:rPr>
        <w:t xml:space="preserve">, wydatki publiczne powinny być dokonywane </w:t>
      </w:r>
      <w:r w:rsidR="00CC379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w sposób celowy i oszczędny.</w:t>
      </w:r>
    </w:p>
    <w:p w14:paraId="49EE28ED" w14:textId="5B78D67B" w:rsidR="00065B06" w:rsidRDefault="00065B06" w:rsidP="00065B06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ocenie Krajowej Izby Odwoławczej (wyrok z dn. 22.01.2019 r., sygn. KIO 2</w:t>
      </w:r>
      <w:r w:rsidR="009D297D">
        <w:rPr>
          <w:sz w:val="22"/>
          <w:szCs w:val="22"/>
        </w:rPr>
        <w:t>608/18 …</w:t>
      </w:r>
      <w:r>
        <w:rPr>
          <w:sz w:val="22"/>
          <w:szCs w:val="22"/>
        </w:rPr>
        <w:t xml:space="preserve"> - wyrok aktualny                            w bieżącym stanie prawnym) to Zamawiający ma prawo a wręcz obowiązek podejmowania decyzji w zakresie, czy zwiększenie środków przeznaczonych na realizację zamówienia jest uzasadnione pod względem celowości i efektywności gospodarowania środkami publicznymi. </w:t>
      </w:r>
    </w:p>
    <w:p w14:paraId="50A4F0F3" w14:textId="5B091983" w:rsidR="00065B06" w:rsidRDefault="00065B06" w:rsidP="00065B06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Decyzję  zamawiający  podejmuje  w  określonych  warunkach  zaistniałych  </w:t>
      </w:r>
      <w:r w:rsidR="00DE3005">
        <w:rPr>
          <w:sz w:val="22"/>
          <w:szCs w:val="22"/>
        </w:rPr>
        <w:t xml:space="preserve"> </w:t>
      </w:r>
      <w:r>
        <w:rPr>
          <w:sz w:val="22"/>
          <w:szCs w:val="22"/>
        </w:rPr>
        <w:t>w  konkretnym   postępowaniu                                 o  udzielenie  zamówienia  i   w  granicach możliwości finansowania zadania.  Zamawiający  podjął  decyzję                o unieważnieniu postępowania.</w:t>
      </w:r>
      <w:r>
        <w:rPr>
          <w:sz w:val="22"/>
          <w:szCs w:val="22"/>
        </w:rPr>
        <w:br/>
      </w:r>
    </w:p>
    <w:p w14:paraId="62BC86D9" w14:textId="77777777" w:rsidR="00065B06" w:rsidRDefault="00065B06" w:rsidP="00065B06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świetle powyższego zaistniały przesłanki do unieważnienia postępowania w oparciu o art. 255 pkt 7) Ustawy.</w:t>
      </w:r>
    </w:p>
    <w:p w14:paraId="758E143C" w14:textId="77777777" w:rsidR="00065B06" w:rsidRDefault="00065B06" w:rsidP="00065B06">
      <w:pPr>
        <w:widowControl/>
        <w:tabs>
          <w:tab w:val="center" w:pos="567"/>
          <w:tab w:val="right" w:pos="8647"/>
        </w:tabs>
        <w:suppressAutoHyphens w:val="0"/>
        <w:spacing w:line="360" w:lineRule="auto"/>
        <w:rPr>
          <w:rFonts w:eastAsia="Times New Roman"/>
          <w:bCs/>
          <w:sz w:val="22"/>
          <w:szCs w:val="22"/>
          <w:lang w:eastAsia="zh-CN" w:bidi="hi-IN"/>
        </w:rPr>
      </w:pPr>
    </w:p>
    <w:p w14:paraId="0B4556D5" w14:textId="47C6F75C" w:rsidR="007E2FC2" w:rsidRPr="00761C5D" w:rsidRDefault="00E625D3" w:rsidP="00657642">
      <w:pPr>
        <w:jc w:val="center"/>
        <w:rPr>
          <w:b/>
          <w:bCs/>
          <w:sz w:val="22"/>
          <w:szCs w:val="22"/>
          <w:lang w:eastAsia="zh-CN" w:bidi="hi-IN"/>
        </w:rPr>
      </w:pPr>
      <w:r w:rsidRPr="00761C5D">
        <w:rPr>
          <w:b/>
          <w:bCs/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95602DC" w14:textId="3BD6E3DE" w:rsidR="00DA625B" w:rsidRDefault="00DA625B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3DF098DC" w14:textId="5368CACB" w:rsidR="007A40E7" w:rsidRPr="00F809FC" w:rsidRDefault="00F809FC" w:rsidP="00F809FC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14:paraId="71BAD218" w14:textId="4E845326" w:rsidR="007A40E7" w:rsidRPr="001B402B" w:rsidRDefault="001B402B" w:rsidP="001B402B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1B402B">
        <w:rPr>
          <w:b/>
          <w:bCs/>
          <w:i/>
          <w:iCs/>
          <w:sz w:val="22"/>
          <w:szCs w:val="22"/>
        </w:rPr>
        <w:t>Zarząd Powiatu Zgierskiego</w:t>
      </w:r>
    </w:p>
    <w:p w14:paraId="028F8B1B" w14:textId="30D1DDD3" w:rsidR="00DB1105" w:rsidRPr="00E74A45" w:rsidRDefault="00DB1105" w:rsidP="007A40E7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6719ECD3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663890">
        <w:rPr>
          <w:i/>
          <w:sz w:val="18"/>
          <w:szCs w:val="18"/>
        </w:rPr>
        <w:t xml:space="preserve">                                               </w:t>
      </w:r>
      <w:r w:rsidRPr="00DB1105">
        <w:rPr>
          <w:i/>
          <w:sz w:val="18"/>
          <w:szCs w:val="18"/>
        </w:rPr>
        <w:t xml:space="preserve">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4CB206D5" w14:textId="77777777" w:rsidR="00E34172" w:rsidRPr="00DB1105" w:rsidRDefault="00E34172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</w:p>
    <w:p w14:paraId="58EE7F6D" w14:textId="581657B6" w:rsidR="003A5FC4" w:rsidRPr="00DB1105" w:rsidRDefault="0045470A" w:rsidP="00481F6D">
      <w:pPr>
        <w:rPr>
          <w:b/>
          <w:bCs/>
          <w:sz w:val="18"/>
          <w:szCs w:val="18"/>
        </w:rPr>
      </w:pPr>
      <w:r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C6F4" w14:textId="77777777" w:rsidR="003B5CD0" w:rsidRDefault="003B5CD0" w:rsidP="00A8243D">
      <w:r>
        <w:separator/>
      </w:r>
    </w:p>
  </w:endnote>
  <w:endnote w:type="continuationSeparator" w:id="0">
    <w:p w14:paraId="7547CCA4" w14:textId="77777777" w:rsidR="003B5CD0" w:rsidRDefault="003B5CD0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A7A" w14:textId="77777777" w:rsidR="003B5CD0" w:rsidRDefault="003B5CD0" w:rsidP="00A8243D">
      <w:r>
        <w:separator/>
      </w:r>
    </w:p>
  </w:footnote>
  <w:footnote w:type="continuationSeparator" w:id="0">
    <w:p w14:paraId="1FD55027" w14:textId="77777777" w:rsidR="003B5CD0" w:rsidRDefault="003B5CD0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DDD"/>
    <w:multiLevelType w:val="hybridMultilevel"/>
    <w:tmpl w:val="440003B4"/>
    <w:lvl w:ilvl="0" w:tplc="884432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2023544">
    <w:abstractNumId w:val="6"/>
  </w:num>
  <w:num w:numId="2" w16cid:durableId="1632634774">
    <w:abstractNumId w:val="2"/>
  </w:num>
  <w:num w:numId="3" w16cid:durableId="1066150344">
    <w:abstractNumId w:val="14"/>
  </w:num>
  <w:num w:numId="4" w16cid:durableId="48765525">
    <w:abstractNumId w:val="19"/>
  </w:num>
  <w:num w:numId="5" w16cid:durableId="2074309716">
    <w:abstractNumId w:val="24"/>
  </w:num>
  <w:num w:numId="6" w16cid:durableId="213590680">
    <w:abstractNumId w:val="17"/>
  </w:num>
  <w:num w:numId="7" w16cid:durableId="913709273">
    <w:abstractNumId w:val="21"/>
  </w:num>
  <w:num w:numId="8" w16cid:durableId="1145273809">
    <w:abstractNumId w:val="1"/>
  </w:num>
  <w:num w:numId="9" w16cid:durableId="71508254">
    <w:abstractNumId w:val="23"/>
  </w:num>
  <w:num w:numId="10" w16cid:durableId="30496608">
    <w:abstractNumId w:val="9"/>
  </w:num>
  <w:num w:numId="11" w16cid:durableId="1877813787">
    <w:abstractNumId w:val="13"/>
  </w:num>
  <w:num w:numId="12" w16cid:durableId="2055540542">
    <w:abstractNumId w:val="25"/>
  </w:num>
  <w:num w:numId="13" w16cid:durableId="1139614060">
    <w:abstractNumId w:val="0"/>
  </w:num>
  <w:num w:numId="14" w16cid:durableId="1252473209">
    <w:abstractNumId w:val="5"/>
  </w:num>
  <w:num w:numId="15" w16cid:durableId="1768188982">
    <w:abstractNumId w:val="8"/>
  </w:num>
  <w:num w:numId="16" w16cid:durableId="1166704095">
    <w:abstractNumId w:val="4"/>
  </w:num>
  <w:num w:numId="17" w16cid:durableId="480997787">
    <w:abstractNumId w:val="18"/>
  </w:num>
  <w:num w:numId="18" w16cid:durableId="1524441635">
    <w:abstractNumId w:val="20"/>
  </w:num>
  <w:num w:numId="19" w16cid:durableId="1307513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8912526">
    <w:abstractNumId w:val="12"/>
  </w:num>
  <w:num w:numId="21" w16cid:durableId="36975167">
    <w:abstractNumId w:val="16"/>
  </w:num>
  <w:num w:numId="22" w16cid:durableId="666056788">
    <w:abstractNumId w:val="10"/>
  </w:num>
  <w:num w:numId="23" w16cid:durableId="1610963922">
    <w:abstractNumId w:val="11"/>
  </w:num>
  <w:num w:numId="24" w16cid:durableId="1698921727">
    <w:abstractNumId w:val="7"/>
  </w:num>
  <w:num w:numId="25" w16cid:durableId="2080245513">
    <w:abstractNumId w:val="3"/>
  </w:num>
  <w:num w:numId="26" w16cid:durableId="2087651422">
    <w:abstractNumId w:val="22"/>
  </w:num>
  <w:num w:numId="27" w16cid:durableId="650603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5B06"/>
    <w:rsid w:val="00067DFE"/>
    <w:rsid w:val="0007576B"/>
    <w:rsid w:val="000A5BEE"/>
    <w:rsid w:val="000B26EF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02B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B64D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72AF0"/>
    <w:rsid w:val="00375F77"/>
    <w:rsid w:val="0038088C"/>
    <w:rsid w:val="00387389"/>
    <w:rsid w:val="00387BA8"/>
    <w:rsid w:val="003A05D6"/>
    <w:rsid w:val="003A5FC4"/>
    <w:rsid w:val="003A7D00"/>
    <w:rsid w:val="003B081E"/>
    <w:rsid w:val="003B18A2"/>
    <w:rsid w:val="003B5CD0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391E"/>
    <w:rsid w:val="0045470A"/>
    <w:rsid w:val="00457387"/>
    <w:rsid w:val="00475804"/>
    <w:rsid w:val="0048025C"/>
    <w:rsid w:val="00481F6D"/>
    <w:rsid w:val="00496378"/>
    <w:rsid w:val="004B7600"/>
    <w:rsid w:val="004C53CF"/>
    <w:rsid w:val="004E18EF"/>
    <w:rsid w:val="004E2ECA"/>
    <w:rsid w:val="004E5860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3C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E6EAB"/>
    <w:rsid w:val="005F699F"/>
    <w:rsid w:val="005F6F33"/>
    <w:rsid w:val="006054B8"/>
    <w:rsid w:val="006110AE"/>
    <w:rsid w:val="006124EC"/>
    <w:rsid w:val="0062377A"/>
    <w:rsid w:val="00633522"/>
    <w:rsid w:val="00636DFF"/>
    <w:rsid w:val="0064015E"/>
    <w:rsid w:val="00641540"/>
    <w:rsid w:val="00647BE4"/>
    <w:rsid w:val="00657642"/>
    <w:rsid w:val="00660CF4"/>
    <w:rsid w:val="00660F1D"/>
    <w:rsid w:val="00663890"/>
    <w:rsid w:val="00664E87"/>
    <w:rsid w:val="00671E61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2025D"/>
    <w:rsid w:val="00723D67"/>
    <w:rsid w:val="007304A7"/>
    <w:rsid w:val="0073057C"/>
    <w:rsid w:val="00741093"/>
    <w:rsid w:val="00750C7B"/>
    <w:rsid w:val="00753C1E"/>
    <w:rsid w:val="00761C5D"/>
    <w:rsid w:val="00766CDD"/>
    <w:rsid w:val="00773377"/>
    <w:rsid w:val="0079341E"/>
    <w:rsid w:val="007A40E7"/>
    <w:rsid w:val="007A5BDF"/>
    <w:rsid w:val="007B23A1"/>
    <w:rsid w:val="007B7B87"/>
    <w:rsid w:val="007C656C"/>
    <w:rsid w:val="007D3620"/>
    <w:rsid w:val="007D3C17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47B5D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30DDE"/>
    <w:rsid w:val="009408EF"/>
    <w:rsid w:val="00941F8C"/>
    <w:rsid w:val="00946642"/>
    <w:rsid w:val="00947C20"/>
    <w:rsid w:val="00952CD5"/>
    <w:rsid w:val="009727A1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297D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61E51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2477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2128"/>
    <w:rsid w:val="00B85AFE"/>
    <w:rsid w:val="00B945E3"/>
    <w:rsid w:val="00B95769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77F5D"/>
    <w:rsid w:val="00C83994"/>
    <w:rsid w:val="00C92109"/>
    <w:rsid w:val="00C953FD"/>
    <w:rsid w:val="00C97CF4"/>
    <w:rsid w:val="00CB2F2B"/>
    <w:rsid w:val="00CB7AA5"/>
    <w:rsid w:val="00CC0C5D"/>
    <w:rsid w:val="00CC346D"/>
    <w:rsid w:val="00CC3793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5DBD"/>
    <w:rsid w:val="00DE3005"/>
    <w:rsid w:val="00DE5BC6"/>
    <w:rsid w:val="00DE6FAA"/>
    <w:rsid w:val="00DF4B65"/>
    <w:rsid w:val="00DF4FE0"/>
    <w:rsid w:val="00DF68E5"/>
    <w:rsid w:val="00E02160"/>
    <w:rsid w:val="00E11188"/>
    <w:rsid w:val="00E169AD"/>
    <w:rsid w:val="00E21308"/>
    <w:rsid w:val="00E34172"/>
    <w:rsid w:val="00E3437A"/>
    <w:rsid w:val="00E43230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0819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7674"/>
    <w:rsid w:val="00F72118"/>
    <w:rsid w:val="00F809FC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qFormat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231F-A4C2-4950-B9B8-472A105F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56</cp:revision>
  <cp:lastPrinted>2023-02-08T09:05:00Z</cp:lastPrinted>
  <dcterms:created xsi:type="dcterms:W3CDTF">2020-10-09T09:55:00Z</dcterms:created>
  <dcterms:modified xsi:type="dcterms:W3CDTF">2023-02-08T09:56:00Z</dcterms:modified>
</cp:coreProperties>
</file>