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420EDAA4" w:rsidR="007C4F4A" w:rsidRPr="002C122E" w:rsidRDefault="001B382B" w:rsidP="002C122E">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2C122E" w:rsidRPr="002C122E">
        <w:rPr>
          <w:rFonts w:ascii="Arial" w:hAnsi="Arial" w:cs="Arial"/>
          <w:b/>
          <w:bCs/>
          <w:sz w:val="22"/>
          <w:szCs w:val="22"/>
        </w:rPr>
        <w:t>Budowa drogi wewnętrznej (ulicy Sosnowej) wraz z odwodnieniem powierzchniowym w m. Nowa Wieś</w:t>
      </w:r>
      <w:r w:rsidR="002C122E">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1A44395B" w14:textId="77777777" w:rsidR="008E7E85" w:rsidRDefault="008E7E85" w:rsidP="008E7E85">
      <w:pPr>
        <w:pStyle w:val="Akapitzlist"/>
        <w:autoSpaceDE w:val="0"/>
        <w:autoSpaceDN w:val="0"/>
        <w:adjustRightInd w:val="0"/>
        <w:spacing w:after="0" w:line="240" w:lineRule="auto"/>
        <w:ind w:left="993" w:firstLine="0"/>
        <w:rPr>
          <w:rFonts w:ascii="Arial" w:hAnsi="Arial" w:cs="Arial"/>
          <w:sz w:val="22"/>
          <w:szCs w:val="22"/>
        </w:rPr>
      </w:pPr>
      <w:r w:rsidRPr="008E7E85">
        <w:rPr>
          <w:rFonts w:ascii="Arial" w:hAnsi="Arial" w:cs="Arial"/>
          <w:sz w:val="22"/>
          <w:szCs w:val="22"/>
        </w:rPr>
        <w:t xml:space="preserve">Projektowanie Dróg i Ulic Andrzej Włodarczak </w:t>
      </w:r>
    </w:p>
    <w:p w14:paraId="078CCC7C" w14:textId="04DFD6E8"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669B31E7" w14:textId="7777777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20B2D4AE" w14:textId="3F2B50C8" w:rsidR="00AD19D9" w:rsidRPr="00A76980" w:rsidRDefault="00AD19D9" w:rsidP="00AD19D9">
      <w:pPr>
        <w:pStyle w:val="Akapitzlist"/>
        <w:numPr>
          <w:ilvl w:val="0"/>
          <w:numId w:val="29"/>
        </w:numPr>
        <w:autoSpaceDE w:val="0"/>
        <w:autoSpaceDN w:val="0"/>
        <w:adjustRightInd w:val="0"/>
        <w:spacing w:after="0" w:line="276" w:lineRule="auto"/>
        <w:rPr>
          <w:rFonts w:ascii="Arial" w:hAnsi="Arial" w:cs="Arial"/>
          <w:sz w:val="22"/>
          <w:szCs w:val="22"/>
        </w:rPr>
      </w:pPr>
      <w:r w:rsidRPr="00A76980">
        <w:rPr>
          <w:rFonts w:ascii="Arial" w:hAnsi="Arial" w:cs="Arial"/>
          <w:sz w:val="22"/>
          <w:szCs w:val="22"/>
        </w:rPr>
        <w:t xml:space="preserve">Przedmiot </w:t>
      </w:r>
      <w:r w:rsidR="000A0A08" w:rsidRPr="00A76980">
        <w:rPr>
          <w:rFonts w:ascii="Arial" w:hAnsi="Arial" w:cs="Arial"/>
          <w:sz w:val="22"/>
          <w:szCs w:val="22"/>
        </w:rPr>
        <w:t>niniejszej umowy</w:t>
      </w:r>
      <w:r w:rsidRPr="00A76980">
        <w:rPr>
          <w:rFonts w:ascii="Arial" w:hAnsi="Arial" w:cs="Arial"/>
          <w:sz w:val="22"/>
          <w:szCs w:val="22"/>
        </w:rPr>
        <w:t xml:space="preserve"> dofinansowany jest ze środków </w:t>
      </w:r>
      <w:r w:rsidR="00A76980" w:rsidRPr="00A76980">
        <w:rPr>
          <w:rFonts w:ascii="Arial" w:hAnsi="Arial" w:cs="Arial"/>
          <w:sz w:val="22"/>
          <w:szCs w:val="22"/>
        </w:rPr>
        <w:t>budżetu Województwa Wielkopolskiego</w:t>
      </w:r>
      <w:r w:rsidRPr="00A76980">
        <w:rPr>
          <w:rFonts w:ascii="Arial" w:hAnsi="Arial" w:cs="Arial"/>
          <w:sz w:val="22"/>
          <w:szCs w:val="22"/>
        </w:rPr>
        <w:t>.</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2C596D9E"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AD19D9" w:rsidRPr="00AD19D9">
        <w:rPr>
          <w:rFonts w:ascii="Arial" w:hAnsi="Arial" w:cs="Arial"/>
          <w:b/>
          <w:bCs/>
          <w:sz w:val="22"/>
          <w:szCs w:val="22"/>
        </w:rPr>
        <w:t xml:space="preserve">do </w:t>
      </w:r>
      <w:r w:rsidR="002C122E">
        <w:rPr>
          <w:rFonts w:ascii="Arial" w:hAnsi="Arial" w:cs="Arial"/>
          <w:b/>
          <w:bCs/>
          <w:sz w:val="22"/>
          <w:szCs w:val="22"/>
        </w:rPr>
        <w:t>20</w:t>
      </w:r>
      <w:r w:rsidR="00AD19D9" w:rsidRPr="00AD19D9">
        <w:rPr>
          <w:rFonts w:ascii="Arial" w:hAnsi="Arial" w:cs="Arial"/>
          <w:b/>
          <w:bCs/>
          <w:sz w:val="22"/>
          <w:szCs w:val="22"/>
        </w:rPr>
        <w:t xml:space="preserve"> października 2023 roku</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lastRenderedPageBreak/>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76554DD1" w14:textId="1ED4918D" w:rsidR="00802788" w:rsidRPr="00802788" w:rsidRDefault="00802788"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802788">
        <w:rPr>
          <w:rFonts w:ascii="Arial" w:hAnsi="Arial" w:cs="Arial"/>
          <w:sz w:val="22"/>
          <w:szCs w:val="22"/>
        </w:rPr>
        <w:t>Wykonawca zobowiązany jest zapewnić przeprowadzenie badań archeologicznych podczas realizacji robót.</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ponosi pełną odpowiedzialność za teren budowy z chwilą protokolarnego </w:t>
      </w:r>
      <w:r w:rsidRPr="001C12BC">
        <w:rPr>
          <w:rFonts w:ascii="Arial" w:hAnsi="Arial" w:cs="Arial"/>
          <w:sz w:val="22"/>
          <w:szCs w:val="22"/>
        </w:rPr>
        <w:lastRenderedPageBreak/>
        <w:t>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 xml:space="preserve">w zakresie wiedzy i/lub doświadczenia Wykonawca powoływał się składając ofertę celem wykazania spełniania warunków udziału w postępowaniu o udzielenie zamówienia publicznego, </w:t>
      </w:r>
      <w:r w:rsidRPr="001C12BC">
        <w:rPr>
          <w:rFonts w:ascii="Arial" w:hAnsi="Arial" w:cs="Arial"/>
          <w:sz w:val="22"/>
          <w:szCs w:val="22"/>
        </w:rPr>
        <w:lastRenderedPageBreak/>
        <w:t>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lastRenderedPageBreak/>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0D874594"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jedną fakturą </w:t>
      </w:r>
      <w:r w:rsidR="002C122E">
        <w:rPr>
          <w:rFonts w:ascii="Arial" w:hAnsi="Arial" w:cs="Arial"/>
          <w:sz w:val="22"/>
          <w:szCs w:val="22"/>
        </w:rPr>
        <w:t xml:space="preserve">końcową </w:t>
      </w:r>
      <w:r w:rsidRPr="008E7E85">
        <w:rPr>
          <w:rFonts w:ascii="Arial" w:hAnsi="Arial" w:cs="Arial"/>
          <w:sz w:val="22"/>
          <w:szCs w:val="22"/>
        </w:rPr>
        <w:t xml:space="preserve">po końcowym odbiorze robót w terminie </w:t>
      </w:r>
      <w:r w:rsidRPr="003E1D3B">
        <w:rPr>
          <w:rFonts w:ascii="Arial" w:hAnsi="Arial" w:cs="Arial"/>
          <w:sz w:val="22"/>
          <w:szCs w:val="22"/>
        </w:rPr>
        <w:t>14 dni</w:t>
      </w:r>
      <w:r w:rsidRPr="008E7E85">
        <w:rPr>
          <w:rFonts w:ascii="Arial" w:hAnsi="Arial" w:cs="Arial"/>
          <w:sz w:val="22"/>
          <w:szCs w:val="22"/>
        </w:rPr>
        <w:t xml:space="preserve"> od daty wpływu faktury do Zamawiającego.</w:t>
      </w:r>
    </w:p>
    <w:p w14:paraId="6E8F6846" w14:textId="4A4AB38D"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w:t>
      </w:r>
      <w:r w:rsidR="002132EC">
        <w:rPr>
          <w:rFonts w:ascii="Arial" w:hAnsi="Arial" w:cs="Arial"/>
          <w:sz w:val="22"/>
          <w:szCs w:val="22"/>
        </w:rPr>
        <w:t>e</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31AE16DD" w14:textId="7450A62A" w:rsidR="00B70FA1" w:rsidRPr="008E7E85" w:rsidRDefault="00B70FA1" w:rsidP="008E7E85">
      <w:pPr>
        <w:pStyle w:val="Tekstpodstawowy"/>
        <w:numPr>
          <w:ilvl w:val="0"/>
          <w:numId w:val="10"/>
        </w:numPr>
        <w:tabs>
          <w:tab w:val="left" w:pos="331"/>
        </w:tabs>
        <w:ind w:left="284" w:hanging="284"/>
        <w:jc w:val="both"/>
        <w:rPr>
          <w:rFonts w:ascii="Arial" w:hAnsi="Arial" w:cs="Arial"/>
          <w:bCs/>
          <w:sz w:val="22"/>
          <w:szCs w:val="22"/>
        </w:rPr>
      </w:pPr>
      <w:r w:rsidRPr="008E7E85">
        <w:rPr>
          <w:rFonts w:ascii="Arial" w:hAnsi="Arial" w:cs="Arial"/>
          <w:bCs/>
          <w:sz w:val="22"/>
          <w:szCs w:val="22"/>
        </w:rPr>
        <w:t xml:space="preserve">W sytuacji, gdy rachunek wskazany przez Wykonawcę na fakturze nie będzie rachunkiem znajdującym się w prowadzonym przez Szefa Krajowej Administracji Skarbowej wykazie </w:t>
      </w:r>
      <w:r w:rsidRPr="008E7E85">
        <w:rPr>
          <w:rFonts w:ascii="Arial" w:hAnsi="Arial" w:cs="Arial"/>
          <w:bCs/>
          <w:sz w:val="22"/>
          <w:szCs w:val="22"/>
        </w:rPr>
        <w:lastRenderedPageBreak/>
        <w:t xml:space="preserve">podatników VAT, a wartość Umowy będzie równa lub wyższa niż 15.000,00 zł brutto, Zamawiający zapłaci należność stwierdzoną fakturą na inny rachunek Wykonawcy - znajdujący się </w:t>
      </w:r>
      <w:r w:rsidR="00CC2AC9" w:rsidRPr="008E7E85">
        <w:rPr>
          <w:rFonts w:ascii="Arial" w:hAnsi="Arial" w:cs="Arial"/>
          <w:bCs/>
          <w:sz w:val="22"/>
          <w:szCs w:val="22"/>
        </w:rPr>
        <w:br/>
      </w:r>
      <w:r w:rsidRPr="008E7E85">
        <w:rPr>
          <w:rFonts w:ascii="Arial" w:hAnsi="Arial" w:cs="Arial"/>
          <w:bCs/>
          <w:sz w:val="22"/>
          <w:szCs w:val="22"/>
        </w:rPr>
        <w:t>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 xml:space="preserve">W sytuacji gdy Wykonawca do zgłoszenia załączy szkice geodezyjne zobowiązany jest złożyć oświadczenie o przekazaniu Zamawiającemu inwentaryzacji geodezyjnej powykonawczej </w:t>
      </w:r>
      <w:r w:rsidRPr="00604DAC">
        <w:rPr>
          <w:rFonts w:ascii="Arial" w:hAnsi="Arial" w:cs="Arial"/>
          <w:sz w:val="22"/>
          <w:szCs w:val="22"/>
        </w:rPr>
        <w:lastRenderedPageBreak/>
        <w:t>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3ED9223A" w:rsidR="00BE4049" w:rsidRPr="00BE4049" w:rsidRDefault="00BE4049" w:rsidP="00BE4049">
      <w:pPr>
        <w:pStyle w:val="Tekstpodstawowy"/>
        <w:numPr>
          <w:ilvl w:val="0"/>
          <w:numId w:val="44"/>
        </w:numPr>
        <w:shd w:val="clear" w:color="auto" w:fill="auto"/>
        <w:tabs>
          <w:tab w:val="left" w:pos="775"/>
        </w:tabs>
        <w:jc w:val="both"/>
        <w:rPr>
          <w:rFonts w:ascii="Arial" w:hAnsi="Arial" w:cs="Arial"/>
          <w:bCs/>
          <w:sz w:val="24"/>
          <w:szCs w:val="24"/>
        </w:rPr>
      </w:pPr>
      <w:r w:rsidRPr="00BE4049">
        <w:rPr>
          <w:rFonts w:ascii="Arial" w:hAnsi="Arial" w:cs="Arial"/>
          <w:bCs/>
          <w:sz w:val="22"/>
          <w:szCs w:val="22"/>
        </w:rPr>
        <w:t xml:space="preserve">roboty drogowe (roboty przygotowawcze, roboty ziemne, wykonanie podbudowy </w:t>
      </w:r>
      <w:r w:rsidR="002C122E">
        <w:rPr>
          <w:rFonts w:ascii="Arial" w:hAnsi="Arial" w:cs="Arial"/>
          <w:bCs/>
          <w:sz w:val="22"/>
          <w:szCs w:val="22"/>
        </w:rPr>
        <w:br/>
      </w:r>
      <w:r w:rsidRPr="00BE4049">
        <w:rPr>
          <w:rFonts w:ascii="Arial" w:hAnsi="Arial" w:cs="Arial"/>
          <w:bCs/>
          <w:sz w:val="22"/>
          <w:szCs w:val="22"/>
        </w:rPr>
        <w:t>i nawierzchni)</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lastRenderedPageBreak/>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 xml:space="preserve">lub nienależytego wykonania przedmiotu umowy, Zamawiający poniósł szkodę przewyższającą </w:t>
      </w:r>
      <w:r w:rsidRPr="001C12BC">
        <w:rPr>
          <w:rFonts w:ascii="Arial" w:hAnsi="Arial" w:cs="Arial"/>
          <w:sz w:val="22"/>
          <w:szCs w:val="22"/>
        </w:rPr>
        <w:lastRenderedPageBreak/>
        <w:t>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1ED2378A"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w:t>
      </w:r>
      <w:r w:rsidR="00CC051A">
        <w:rPr>
          <w:rFonts w:ascii="Arial" w:hAnsi="Arial" w:cs="Arial"/>
          <w:sz w:val="22"/>
          <w:szCs w:val="22"/>
        </w:rPr>
        <w:br/>
      </w:r>
      <w:r w:rsidRPr="001C12BC">
        <w:rPr>
          <w:rFonts w:ascii="Arial" w:hAnsi="Arial" w:cs="Arial"/>
          <w:sz w:val="22"/>
          <w:szCs w:val="22"/>
        </w:rPr>
        <w:t>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657CBD"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657CBD">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lastRenderedPageBreak/>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4E0327">
        <w:rPr>
          <w:rFonts w:ascii="Arial" w:hAnsi="Arial" w:cs="Arial"/>
          <w:sz w:val="22"/>
          <w:szCs w:val="22"/>
        </w:rPr>
        <w:t>,</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w:t>
      </w:r>
      <w:r w:rsidRPr="001C12BC">
        <w:rPr>
          <w:rFonts w:ascii="Arial" w:hAnsi="Arial" w:cs="Arial"/>
          <w:b/>
          <w:bCs/>
          <w:sz w:val="22"/>
          <w:szCs w:val="22"/>
        </w:rPr>
        <w:lastRenderedPageBreak/>
        <w:t xml:space="preserve">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61213B58" w14:textId="67A22B2A" w:rsidR="00873DC2" w:rsidRPr="001C12BC" w:rsidRDefault="00873DC2" w:rsidP="001D71E7">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r w:rsidR="001D71E7">
        <w:rPr>
          <w:rFonts w:ascii="Arial" w:hAnsi="Arial" w:cs="Arial"/>
          <w:b/>
          <w:bCs/>
          <w:sz w:val="22"/>
          <w:szCs w:val="22"/>
        </w:rPr>
        <w:t>l</w:t>
      </w:r>
      <w:r w:rsidRPr="001C12BC">
        <w:rPr>
          <w:rFonts w:ascii="Arial" w:hAnsi="Arial" w:cs="Arial"/>
          <w:b/>
          <w:bCs/>
          <w:sz w:val="22"/>
          <w:szCs w:val="22"/>
        </w:rPr>
        <w:t>ub sposobu rozliczenia wynagrodzenia wykonawcy</w:t>
      </w:r>
    </w:p>
    <w:p w14:paraId="25309319" w14:textId="7CEA67B2" w:rsidR="00416720" w:rsidRPr="001C12BC" w:rsidRDefault="00873DC2" w:rsidP="00CC2AC9">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lastRenderedPageBreak/>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9743" w14:textId="77777777" w:rsidR="00E04038" w:rsidRDefault="00E04038">
      <w:r>
        <w:separator/>
      </w:r>
    </w:p>
  </w:endnote>
  <w:endnote w:type="continuationSeparator" w:id="0">
    <w:p w14:paraId="44CD0BEF" w14:textId="77777777" w:rsidR="00E04038" w:rsidRDefault="00E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3E1D3B">
        <w:pPr>
          <w:pStyle w:val="Stopka"/>
          <w:jc w:val="right"/>
        </w:pPr>
      </w:p>
    </w:sdtContent>
  </w:sdt>
  <w:p w14:paraId="18A9DC61" w14:textId="63C0F053" w:rsidR="00122AC5" w:rsidRDefault="003E1D3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D2E4" w14:textId="77777777" w:rsidR="00E04038" w:rsidRDefault="00E04038">
      <w:r>
        <w:separator/>
      </w:r>
    </w:p>
  </w:footnote>
  <w:footnote w:type="continuationSeparator" w:id="0">
    <w:p w14:paraId="345E4B6A" w14:textId="77777777" w:rsidR="00E04038" w:rsidRDefault="00E0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0A08"/>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4D75"/>
    <w:rsid w:val="003B3A49"/>
    <w:rsid w:val="003B4591"/>
    <w:rsid w:val="003B6F79"/>
    <w:rsid w:val="003C15A8"/>
    <w:rsid w:val="003C2767"/>
    <w:rsid w:val="003D2D83"/>
    <w:rsid w:val="003D6F98"/>
    <w:rsid w:val="003D727F"/>
    <w:rsid w:val="003E1D3B"/>
    <w:rsid w:val="003E66A1"/>
    <w:rsid w:val="003E7948"/>
    <w:rsid w:val="003E7E4E"/>
    <w:rsid w:val="003F1DBD"/>
    <w:rsid w:val="003F5E82"/>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1BA5"/>
    <w:rsid w:val="006826F0"/>
    <w:rsid w:val="00683E28"/>
    <w:rsid w:val="0068463C"/>
    <w:rsid w:val="00695599"/>
    <w:rsid w:val="00697741"/>
    <w:rsid w:val="006A1A77"/>
    <w:rsid w:val="006B58C6"/>
    <w:rsid w:val="006B67ED"/>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7A2E"/>
    <w:rsid w:val="00780AC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71B2E"/>
    <w:rsid w:val="00974EB1"/>
    <w:rsid w:val="009776D4"/>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B03B44"/>
    <w:rsid w:val="00B06A70"/>
    <w:rsid w:val="00B20806"/>
    <w:rsid w:val="00B25B8B"/>
    <w:rsid w:val="00B26BAF"/>
    <w:rsid w:val="00B300CC"/>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6022</Words>
  <Characters>36137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29</cp:revision>
  <cp:lastPrinted>2023-05-26T06:21:00Z</cp:lastPrinted>
  <dcterms:created xsi:type="dcterms:W3CDTF">2022-12-06T12:11:00Z</dcterms:created>
  <dcterms:modified xsi:type="dcterms:W3CDTF">2023-05-29T09:20:00Z</dcterms:modified>
</cp:coreProperties>
</file>