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DCFE" w14:textId="3D0683C8" w:rsidR="00501035" w:rsidRPr="00797293" w:rsidRDefault="00501035" w:rsidP="00501035">
      <w:pPr>
        <w:pStyle w:val="Nagwek1"/>
        <w:numPr>
          <w:ilvl w:val="0"/>
          <w:numId w:val="0"/>
        </w:numPr>
        <w:spacing w:before="0"/>
        <w:ind w:left="432" w:hanging="432"/>
        <w:jc w:val="left"/>
        <w:rPr>
          <w:rFonts w:ascii="Times New Roman" w:hAnsi="Times New Roman" w:cs="Times New Roman"/>
          <w:sz w:val="22"/>
          <w:szCs w:val="22"/>
        </w:rPr>
      </w:pPr>
      <w:bookmarkStart w:id="0" w:name="_Toc512591816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7293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167927">
        <w:rPr>
          <w:rFonts w:ascii="Times New Roman" w:hAnsi="Times New Roman" w:cs="Times New Roman"/>
          <w:sz w:val="22"/>
          <w:szCs w:val="22"/>
        </w:rPr>
        <w:t>7</w:t>
      </w:r>
    </w:p>
    <w:p w14:paraId="59A7376E" w14:textId="254C85A5" w:rsidR="00501035" w:rsidRPr="00501035" w:rsidRDefault="00501035" w:rsidP="00501035">
      <w:pPr>
        <w:pStyle w:val="Nagwek1"/>
        <w:numPr>
          <w:ilvl w:val="0"/>
          <w:numId w:val="0"/>
        </w:numPr>
        <w:spacing w:before="0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501035">
        <w:rPr>
          <w:rFonts w:ascii="Times New Roman" w:hAnsi="Times New Roman" w:cs="Times New Roman"/>
          <w:sz w:val="28"/>
          <w:szCs w:val="28"/>
        </w:rPr>
        <w:t>Szczegółowy opis przedmiotu zamówienia</w:t>
      </w:r>
    </w:p>
    <w:p w14:paraId="79CC14F2" w14:textId="213DFCF9" w:rsidR="00501035" w:rsidRPr="00501035" w:rsidRDefault="00501035" w:rsidP="00501035"/>
    <w:p w14:paraId="2993E6C0" w14:textId="3A0767E2" w:rsidR="00501035" w:rsidRPr="00501035" w:rsidRDefault="00501035" w:rsidP="0050103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501035">
        <w:rPr>
          <w:sz w:val="22"/>
          <w:szCs w:val="22"/>
        </w:rPr>
        <w:t xml:space="preserve">Zamawiający wymaga, aby dostarczony Sprzęt był fabrycznie nowy, tzn. wyprodukowany nie wcześniej niż 6 miesięcy przed dniem składania ofert oraz aby nie był używany. </w:t>
      </w:r>
    </w:p>
    <w:p w14:paraId="2A081756" w14:textId="77777777" w:rsidR="00501035" w:rsidRPr="00501035" w:rsidRDefault="00501035" w:rsidP="0050103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501035">
        <w:rPr>
          <w:sz w:val="22"/>
          <w:szCs w:val="22"/>
        </w:rPr>
        <w:t>Całość dostarczanego Sprzętu musi pochodzić z autoryzowanego kanału sprzedaży producentów zaoferowanego sprzętu.</w:t>
      </w:r>
    </w:p>
    <w:p w14:paraId="137411F1" w14:textId="77777777" w:rsidR="00501035" w:rsidRPr="00501035" w:rsidRDefault="00501035" w:rsidP="0050103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501035">
        <w:rPr>
          <w:sz w:val="22"/>
          <w:szCs w:val="22"/>
        </w:rPr>
        <w:t>Oferowany Sprzęt w dniu składania ofert nie może być przeznaczony przez producenta do wycofania z produkcji.</w:t>
      </w:r>
    </w:p>
    <w:p w14:paraId="66E0F9E7" w14:textId="77777777" w:rsidR="00501035" w:rsidRPr="00501035" w:rsidRDefault="00501035" w:rsidP="00501035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501035">
        <w:rPr>
          <w:sz w:val="22"/>
          <w:szCs w:val="22"/>
        </w:rPr>
        <w:t>Wszystkie urządzenia muszą współpracować z siecią energetyczną o parametrach: 230 V ± 10%, 50 Hz., jednofazowo.</w:t>
      </w:r>
    </w:p>
    <w:p w14:paraId="5FE00B53" w14:textId="77777777" w:rsidR="00501035" w:rsidRPr="00501035" w:rsidRDefault="00501035" w:rsidP="00501035">
      <w:pPr>
        <w:pStyle w:val="Akapitzlist"/>
        <w:numPr>
          <w:ilvl w:val="0"/>
          <w:numId w:val="14"/>
        </w:numPr>
        <w:jc w:val="both"/>
        <w:rPr>
          <w:spacing w:val="-6"/>
          <w:sz w:val="22"/>
          <w:szCs w:val="22"/>
        </w:rPr>
      </w:pPr>
      <w:r w:rsidRPr="00501035">
        <w:rPr>
          <w:sz w:val="22"/>
          <w:szCs w:val="22"/>
        </w:rPr>
        <w:t>W cenie oferty Wykonawca winien skalkulować wszystkie koszty, jakie poniesie w związku z realizacją zamówienia np. dodatkowych materiałów, czynności konserwacyjnych, magazynowania, transportu, rozładunku, dokonania odbiorów, gwarancji, koszty licencji, opłaty i podatki, koszty instalacji oprogramowania oraz wszystkie dodatkowe koszty powstałe w trakcie wdrożenia.</w:t>
      </w:r>
    </w:p>
    <w:p w14:paraId="31BB0A1C" w14:textId="77777777" w:rsidR="00501035" w:rsidRPr="00501035" w:rsidRDefault="00501035" w:rsidP="00501035">
      <w:pPr>
        <w:pStyle w:val="Nagwek1"/>
        <w:numPr>
          <w:ilvl w:val="0"/>
          <w:numId w:val="0"/>
        </w:numPr>
        <w:spacing w:before="0"/>
        <w:ind w:left="357"/>
        <w:rPr>
          <w:rFonts w:ascii="Times New Roman" w:hAnsi="Times New Roman" w:cs="Times New Roman"/>
          <w:sz w:val="22"/>
          <w:szCs w:val="22"/>
        </w:rPr>
      </w:pPr>
    </w:p>
    <w:p w14:paraId="0E60907E" w14:textId="77777777" w:rsidR="00501035" w:rsidRPr="00501035" w:rsidRDefault="00501035" w:rsidP="00501035">
      <w:pPr>
        <w:pStyle w:val="Nagwek1"/>
        <w:numPr>
          <w:ilvl w:val="0"/>
          <w:numId w:val="0"/>
        </w:numPr>
        <w:spacing w:before="0"/>
        <w:ind w:left="357"/>
        <w:rPr>
          <w:rFonts w:ascii="Times New Roman" w:hAnsi="Times New Roman" w:cs="Times New Roman"/>
          <w:sz w:val="22"/>
          <w:szCs w:val="22"/>
        </w:rPr>
      </w:pPr>
    </w:p>
    <w:p w14:paraId="07EDB577" w14:textId="2A8F5844" w:rsidR="00501035" w:rsidRPr="00501035" w:rsidRDefault="009F7563" w:rsidP="00501035">
      <w:pPr>
        <w:pStyle w:val="Nagwek1"/>
        <w:numPr>
          <w:ilvl w:val="0"/>
          <w:numId w:val="1"/>
        </w:numPr>
        <w:spacing w:before="0"/>
        <w:ind w:left="357" w:firstLine="0"/>
        <w:rPr>
          <w:rFonts w:ascii="Times New Roman" w:hAnsi="Times New Roman" w:cs="Times New Roman"/>
          <w:sz w:val="28"/>
          <w:szCs w:val="28"/>
        </w:rPr>
      </w:pPr>
      <w:bookmarkStart w:id="1" w:name="_Hlk53748471"/>
      <w:r w:rsidRPr="00501035">
        <w:rPr>
          <w:rFonts w:ascii="Times New Roman" w:hAnsi="Times New Roman" w:cs="Times New Roman"/>
          <w:sz w:val="28"/>
          <w:szCs w:val="28"/>
        </w:rPr>
        <w:t xml:space="preserve">Wymagania dla </w:t>
      </w:r>
      <w:r w:rsidR="0053680F">
        <w:rPr>
          <w:rFonts w:ascii="Times New Roman" w:hAnsi="Times New Roman" w:cs="Times New Roman"/>
          <w:sz w:val="28"/>
          <w:szCs w:val="28"/>
        </w:rPr>
        <w:t>projektora</w:t>
      </w:r>
      <w:r w:rsidRPr="00501035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08060FBB" w14:textId="77777777" w:rsidR="009F7563" w:rsidRPr="00501035" w:rsidRDefault="009F7563" w:rsidP="009F7563">
      <w:pPr>
        <w:tabs>
          <w:tab w:val="left" w:pos="1418"/>
          <w:tab w:val="left" w:pos="2694"/>
        </w:tabs>
        <w:spacing w:after="0" w:line="240" w:lineRule="auto"/>
        <w:jc w:val="both"/>
        <w:rPr>
          <w:b/>
          <w:b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029"/>
        <w:gridCol w:w="8064"/>
      </w:tblGrid>
      <w:tr w:rsidR="009F7563" w:rsidRPr="00501035" w14:paraId="609D6BAD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6B961E65" w14:textId="77777777" w:rsidR="009F7563" w:rsidRPr="00507E2F" w:rsidRDefault="009F7563" w:rsidP="00DC00C9">
            <w:pPr>
              <w:numPr>
                <w:ilvl w:val="0"/>
                <w:numId w:val="6"/>
              </w:numPr>
              <w:spacing w:before="240" w:line="240" w:lineRule="auto"/>
            </w:pPr>
          </w:p>
        </w:tc>
        <w:tc>
          <w:tcPr>
            <w:tcW w:w="2029" w:type="dxa"/>
            <w:vAlign w:val="center"/>
          </w:tcPr>
          <w:p w14:paraId="791901FF" w14:textId="77777777" w:rsidR="009F7563" w:rsidRPr="00507E2F" w:rsidRDefault="009F7563" w:rsidP="00DC00C9">
            <w:pPr>
              <w:spacing w:before="240"/>
              <w:jc w:val="center"/>
            </w:pPr>
            <w:r w:rsidRPr="00507E2F">
              <w:t>Zastosowanie</w:t>
            </w:r>
          </w:p>
        </w:tc>
        <w:tc>
          <w:tcPr>
            <w:tcW w:w="8064" w:type="dxa"/>
            <w:vAlign w:val="center"/>
          </w:tcPr>
          <w:p w14:paraId="4F6E96D6" w14:textId="7428940A" w:rsidR="009F7563" w:rsidRPr="00507E2F" w:rsidRDefault="00DC00C9" w:rsidP="00DC00C9">
            <w:pPr>
              <w:spacing w:before="240" w:line="240" w:lineRule="auto"/>
              <w:jc w:val="both"/>
            </w:pPr>
            <w:r>
              <w:t>Wyświetlanie prezentacji multimedialnych i dokumentów w małych pomieszczeniach.</w:t>
            </w:r>
          </w:p>
        </w:tc>
      </w:tr>
      <w:tr w:rsidR="009F7563" w:rsidRPr="00501035" w14:paraId="122321A3" w14:textId="77777777" w:rsidTr="00501035">
        <w:trPr>
          <w:trHeight w:val="611"/>
        </w:trPr>
        <w:tc>
          <w:tcPr>
            <w:tcW w:w="534" w:type="dxa"/>
            <w:vAlign w:val="center"/>
          </w:tcPr>
          <w:p w14:paraId="0DA96C20" w14:textId="77777777" w:rsidR="009F7563" w:rsidRPr="00507E2F" w:rsidRDefault="009F7563" w:rsidP="009F7563">
            <w:pPr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2029" w:type="dxa"/>
            <w:vAlign w:val="center"/>
          </w:tcPr>
          <w:p w14:paraId="37A5BB8D" w14:textId="7AA77D02" w:rsidR="009F7563" w:rsidRPr="00507E2F" w:rsidRDefault="00DC00C9" w:rsidP="002C7B47">
            <w:pPr>
              <w:spacing w:before="240"/>
              <w:jc w:val="center"/>
            </w:pPr>
            <w:r>
              <w:t>Technologia wyświetlania</w:t>
            </w:r>
          </w:p>
        </w:tc>
        <w:tc>
          <w:tcPr>
            <w:tcW w:w="8064" w:type="dxa"/>
            <w:vAlign w:val="center"/>
          </w:tcPr>
          <w:p w14:paraId="6C18E557" w14:textId="53D38DC9" w:rsidR="009F7563" w:rsidRPr="00507E2F" w:rsidRDefault="00DC00C9" w:rsidP="00507E2F">
            <w:pPr>
              <w:spacing w:after="0" w:line="240" w:lineRule="auto"/>
            </w:pPr>
            <w:r>
              <w:rPr>
                <w:lang w:eastAsia="zh-TW"/>
              </w:rPr>
              <w:t>DLP</w:t>
            </w:r>
          </w:p>
        </w:tc>
      </w:tr>
      <w:tr w:rsidR="00507E2F" w:rsidRPr="00501035" w14:paraId="5D1AA555" w14:textId="77777777" w:rsidTr="00C17558">
        <w:trPr>
          <w:trHeight w:val="340"/>
        </w:trPr>
        <w:tc>
          <w:tcPr>
            <w:tcW w:w="534" w:type="dxa"/>
            <w:vAlign w:val="center"/>
          </w:tcPr>
          <w:p w14:paraId="3F5DCD98" w14:textId="77777777" w:rsidR="00507E2F" w:rsidRPr="00507E2F" w:rsidRDefault="00507E2F" w:rsidP="00DC00C9">
            <w:pPr>
              <w:numPr>
                <w:ilvl w:val="0"/>
                <w:numId w:val="6"/>
              </w:numPr>
              <w:spacing w:before="240" w:line="240" w:lineRule="auto"/>
            </w:pPr>
          </w:p>
        </w:tc>
        <w:tc>
          <w:tcPr>
            <w:tcW w:w="2029" w:type="dxa"/>
            <w:vAlign w:val="center"/>
          </w:tcPr>
          <w:p w14:paraId="0CA50348" w14:textId="79008FA4" w:rsidR="00507E2F" w:rsidRPr="00507E2F" w:rsidRDefault="00DC00C9" w:rsidP="00DC00C9">
            <w:pPr>
              <w:spacing w:before="240"/>
              <w:jc w:val="center"/>
            </w:pPr>
            <w:r>
              <w:t>Rozdzielczość natywna</w:t>
            </w:r>
          </w:p>
        </w:tc>
        <w:tc>
          <w:tcPr>
            <w:tcW w:w="8064" w:type="dxa"/>
          </w:tcPr>
          <w:p w14:paraId="32FADDC5" w14:textId="14DF744F" w:rsidR="00507E2F" w:rsidRPr="00DC00C9" w:rsidRDefault="00DC00C9" w:rsidP="00DC00C9">
            <w:pPr>
              <w:spacing w:before="240" w:line="240" w:lineRule="auto"/>
              <w:jc w:val="both"/>
              <w:rPr>
                <w:bCs/>
                <w:color w:val="00B050"/>
                <w:lang w:eastAsia="en-US"/>
              </w:rPr>
            </w:pPr>
            <w:r w:rsidRPr="00DC00C9">
              <w:rPr>
                <w:bCs/>
                <w:color w:val="000000" w:themeColor="text1"/>
                <w:lang w:eastAsia="en-US"/>
              </w:rPr>
              <w:t>1920 x 1080 (FHD)</w:t>
            </w:r>
          </w:p>
        </w:tc>
      </w:tr>
      <w:tr w:rsidR="009F7563" w:rsidRPr="00501035" w14:paraId="3FD3B88A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372DA01F" w14:textId="77777777" w:rsidR="009F7563" w:rsidRPr="00507E2F" w:rsidRDefault="009F7563" w:rsidP="00DC00C9">
            <w:pPr>
              <w:numPr>
                <w:ilvl w:val="0"/>
                <w:numId w:val="6"/>
              </w:numPr>
              <w:spacing w:before="240" w:line="240" w:lineRule="auto"/>
            </w:pPr>
          </w:p>
        </w:tc>
        <w:tc>
          <w:tcPr>
            <w:tcW w:w="2029" w:type="dxa"/>
            <w:vAlign w:val="center"/>
          </w:tcPr>
          <w:p w14:paraId="6C648FF6" w14:textId="5AD3B46F" w:rsidR="009F7563" w:rsidRPr="00507E2F" w:rsidRDefault="00DC00C9" w:rsidP="00DC00C9">
            <w:pPr>
              <w:spacing w:before="240"/>
              <w:jc w:val="center"/>
            </w:pPr>
            <w:r>
              <w:rPr>
                <w:bCs/>
              </w:rPr>
              <w:t>Rozdzielczość maksymalna</w:t>
            </w:r>
          </w:p>
        </w:tc>
        <w:tc>
          <w:tcPr>
            <w:tcW w:w="8064" w:type="dxa"/>
            <w:vAlign w:val="center"/>
          </w:tcPr>
          <w:p w14:paraId="50A75E26" w14:textId="04124489" w:rsidR="009F7563" w:rsidRPr="00EF7A6D" w:rsidRDefault="00DC00C9" w:rsidP="00DC00C9">
            <w:pPr>
              <w:spacing w:before="240" w:line="240" w:lineRule="auto"/>
              <w:jc w:val="both"/>
              <w:rPr>
                <w:color w:val="00B050"/>
              </w:rPr>
            </w:pPr>
            <w:r>
              <w:rPr>
                <w:color w:val="auto"/>
              </w:rPr>
              <w:t>1920 x 1200 (WUXGA)</w:t>
            </w:r>
          </w:p>
        </w:tc>
      </w:tr>
      <w:tr w:rsidR="0053526F" w:rsidRPr="00501035" w14:paraId="498F1F5A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385B4CB7" w14:textId="77777777" w:rsidR="0053526F" w:rsidRPr="00507E2F" w:rsidRDefault="0053526F" w:rsidP="00DC00C9">
            <w:pPr>
              <w:numPr>
                <w:ilvl w:val="0"/>
                <w:numId w:val="6"/>
              </w:numPr>
              <w:spacing w:before="240" w:line="240" w:lineRule="auto"/>
            </w:pPr>
          </w:p>
        </w:tc>
        <w:tc>
          <w:tcPr>
            <w:tcW w:w="2029" w:type="dxa"/>
            <w:vAlign w:val="center"/>
          </w:tcPr>
          <w:p w14:paraId="219AE65E" w14:textId="238C3A82" w:rsidR="0053526F" w:rsidRPr="00507E2F" w:rsidRDefault="00DC00C9" w:rsidP="00DC00C9">
            <w:pPr>
              <w:spacing w:before="240" w:line="240" w:lineRule="auto"/>
              <w:jc w:val="center"/>
            </w:pPr>
            <w:r>
              <w:t>Format obrazu</w:t>
            </w:r>
          </w:p>
        </w:tc>
        <w:tc>
          <w:tcPr>
            <w:tcW w:w="8064" w:type="dxa"/>
          </w:tcPr>
          <w:p w14:paraId="215868FB" w14:textId="58455FB4" w:rsidR="002C7B47" w:rsidRDefault="002C7B47" w:rsidP="00DC00C9">
            <w:pPr>
              <w:tabs>
                <w:tab w:val="left" w:pos="1418"/>
                <w:tab w:val="left" w:pos="2694"/>
              </w:tabs>
              <w:spacing w:before="240" w:line="240" w:lineRule="auto"/>
              <w:jc w:val="both"/>
            </w:pPr>
            <w:r>
              <w:t>Projektor musi umożliwiać wyświetlanie obrazu w następujących formatach:</w:t>
            </w:r>
          </w:p>
          <w:p w14:paraId="7EEC52FB" w14:textId="2FA45CDB" w:rsidR="002C7B47" w:rsidRDefault="00DC00C9" w:rsidP="002C7B47">
            <w:pPr>
              <w:pStyle w:val="Akapitzlist"/>
              <w:numPr>
                <w:ilvl w:val="0"/>
                <w:numId w:val="27"/>
              </w:numPr>
              <w:tabs>
                <w:tab w:val="left" w:pos="1418"/>
                <w:tab w:val="left" w:pos="2694"/>
              </w:tabs>
              <w:spacing w:before="240"/>
              <w:jc w:val="both"/>
            </w:pPr>
            <w:r>
              <w:t>4:3</w:t>
            </w:r>
          </w:p>
          <w:p w14:paraId="080E8DA0" w14:textId="77777777" w:rsidR="002C7B47" w:rsidRDefault="00DC00C9" w:rsidP="002C7B47">
            <w:pPr>
              <w:pStyle w:val="Akapitzlist"/>
              <w:numPr>
                <w:ilvl w:val="0"/>
                <w:numId w:val="27"/>
              </w:numPr>
              <w:tabs>
                <w:tab w:val="left" w:pos="1418"/>
                <w:tab w:val="left" w:pos="2694"/>
              </w:tabs>
              <w:spacing w:before="240"/>
              <w:jc w:val="both"/>
            </w:pPr>
            <w:r>
              <w:t>16:9</w:t>
            </w:r>
          </w:p>
          <w:p w14:paraId="4E846E7A" w14:textId="315BF3CA" w:rsidR="0053526F" w:rsidRPr="00507E2F" w:rsidRDefault="00DC00C9" w:rsidP="002C7B47">
            <w:pPr>
              <w:pStyle w:val="Akapitzlist"/>
              <w:numPr>
                <w:ilvl w:val="0"/>
                <w:numId w:val="27"/>
              </w:numPr>
              <w:tabs>
                <w:tab w:val="left" w:pos="1418"/>
                <w:tab w:val="left" w:pos="2694"/>
              </w:tabs>
              <w:spacing w:before="240" w:after="240"/>
              <w:jc w:val="both"/>
            </w:pPr>
            <w:r>
              <w:t>16:10</w:t>
            </w:r>
          </w:p>
        </w:tc>
      </w:tr>
      <w:tr w:rsidR="00E64BAE" w:rsidRPr="00501035" w14:paraId="6669A7F3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34A2392C" w14:textId="77777777" w:rsidR="00E64BAE" w:rsidRPr="00507E2F" w:rsidRDefault="00E64BAE" w:rsidP="00DC00C9">
            <w:pPr>
              <w:numPr>
                <w:ilvl w:val="0"/>
                <w:numId w:val="6"/>
              </w:numPr>
              <w:spacing w:before="24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4E782EC4" w14:textId="54FF4ED7" w:rsidR="00E64BAE" w:rsidRPr="00507E2F" w:rsidRDefault="00DC00C9" w:rsidP="00DC00C9">
            <w:pPr>
              <w:spacing w:before="240"/>
              <w:jc w:val="center"/>
            </w:pPr>
            <w:r>
              <w:t>Jasność</w:t>
            </w:r>
          </w:p>
        </w:tc>
        <w:tc>
          <w:tcPr>
            <w:tcW w:w="8064" w:type="dxa"/>
            <w:vAlign w:val="center"/>
          </w:tcPr>
          <w:p w14:paraId="73A6F09D" w14:textId="5F3508EE" w:rsidR="00E64BAE" w:rsidRPr="00DC00C9" w:rsidRDefault="00DC00C9" w:rsidP="00DC00C9">
            <w:pPr>
              <w:spacing w:before="24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3800 </w:t>
            </w:r>
            <w:r w:rsidR="0053680F">
              <w:rPr>
                <w:bCs/>
              </w:rPr>
              <w:t>ANSI lumenów</w:t>
            </w:r>
          </w:p>
        </w:tc>
      </w:tr>
      <w:tr w:rsidR="00E64BAE" w:rsidRPr="00501035" w14:paraId="7B80AAFC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3EA2E32B" w14:textId="77777777" w:rsidR="00E64BAE" w:rsidRPr="00507E2F" w:rsidRDefault="00E64BAE" w:rsidP="002C7B47">
            <w:pPr>
              <w:numPr>
                <w:ilvl w:val="0"/>
                <w:numId w:val="6"/>
              </w:numPr>
              <w:spacing w:before="24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09F1BEB8" w14:textId="6A07F6B0" w:rsidR="00E64BAE" w:rsidRPr="00507E2F" w:rsidRDefault="002C7B47" w:rsidP="002C7B47">
            <w:pPr>
              <w:spacing w:before="240"/>
              <w:jc w:val="center"/>
            </w:pPr>
            <w:r>
              <w:t>Kontrast</w:t>
            </w:r>
          </w:p>
        </w:tc>
        <w:tc>
          <w:tcPr>
            <w:tcW w:w="8064" w:type="dxa"/>
            <w:vAlign w:val="center"/>
          </w:tcPr>
          <w:p w14:paraId="1A2E4102" w14:textId="2B7BF0F0" w:rsidR="00E64BAE" w:rsidRPr="00507E2F" w:rsidRDefault="002C7B47" w:rsidP="002C7B47">
            <w:pPr>
              <w:tabs>
                <w:tab w:val="left" w:pos="1418"/>
                <w:tab w:val="left" w:pos="2694"/>
                <w:tab w:val="num" w:pos="3240"/>
              </w:tabs>
              <w:spacing w:before="240" w:line="240" w:lineRule="auto"/>
              <w:jc w:val="both"/>
            </w:pPr>
            <w:r>
              <w:rPr>
                <w:spacing w:val="-4"/>
              </w:rPr>
              <w:t>20 000:1</w:t>
            </w:r>
          </w:p>
        </w:tc>
      </w:tr>
      <w:tr w:rsidR="00E64BAE" w:rsidRPr="00501035" w14:paraId="1E10EE56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743C31D3" w14:textId="77777777" w:rsidR="00E64BAE" w:rsidRPr="00507E2F" w:rsidRDefault="00E64BAE" w:rsidP="002C7B47">
            <w:pPr>
              <w:numPr>
                <w:ilvl w:val="0"/>
                <w:numId w:val="6"/>
              </w:numPr>
              <w:spacing w:before="24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44506556" w14:textId="6FC0316A" w:rsidR="00E64BAE" w:rsidRPr="00507E2F" w:rsidRDefault="002C7B47" w:rsidP="002C7B47">
            <w:pPr>
              <w:spacing w:before="240"/>
              <w:jc w:val="center"/>
            </w:pPr>
            <w:r>
              <w:t>Wielkość rzutowanego obrazu</w:t>
            </w:r>
          </w:p>
        </w:tc>
        <w:tc>
          <w:tcPr>
            <w:tcW w:w="8064" w:type="dxa"/>
            <w:vAlign w:val="center"/>
          </w:tcPr>
          <w:p w14:paraId="5B4C6D7B" w14:textId="28A84EF3" w:rsidR="00E64BAE" w:rsidRPr="00507E2F" w:rsidRDefault="002C7B47" w:rsidP="002C7B47">
            <w:pPr>
              <w:tabs>
                <w:tab w:val="left" w:pos="1418"/>
                <w:tab w:val="left" w:pos="2694"/>
                <w:tab w:val="num" w:pos="3240"/>
              </w:tabs>
              <w:spacing w:before="240" w:line="240" w:lineRule="auto"/>
              <w:jc w:val="both"/>
            </w:pPr>
            <w:r>
              <w:rPr>
                <w:spacing w:val="-4"/>
              </w:rPr>
              <w:t>30” – 300”</w:t>
            </w:r>
          </w:p>
        </w:tc>
      </w:tr>
      <w:tr w:rsidR="00E64BAE" w:rsidRPr="00501035" w14:paraId="54F64357" w14:textId="77777777" w:rsidTr="006B30ED">
        <w:trPr>
          <w:trHeight w:val="340"/>
        </w:trPr>
        <w:tc>
          <w:tcPr>
            <w:tcW w:w="534" w:type="dxa"/>
            <w:vAlign w:val="center"/>
          </w:tcPr>
          <w:p w14:paraId="68093344" w14:textId="77777777" w:rsidR="00E64BAE" w:rsidRPr="00507E2F" w:rsidRDefault="00E64BAE" w:rsidP="00E64BA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4400B702" w14:textId="38C6FE79" w:rsidR="00E64BAE" w:rsidRPr="00507E2F" w:rsidRDefault="002C7B47" w:rsidP="00E64BAE">
            <w:pPr>
              <w:jc w:val="center"/>
            </w:pPr>
            <w:r>
              <w:rPr>
                <w:bCs/>
              </w:rPr>
              <w:t>Żywotność lampy</w:t>
            </w:r>
          </w:p>
        </w:tc>
        <w:tc>
          <w:tcPr>
            <w:tcW w:w="8064" w:type="dxa"/>
          </w:tcPr>
          <w:p w14:paraId="0F3B6229" w14:textId="2801DA5C" w:rsidR="002C7B47" w:rsidRDefault="002C7B47" w:rsidP="002C7B47">
            <w:pPr>
              <w:tabs>
                <w:tab w:val="left" w:pos="1418"/>
                <w:tab w:val="left" w:pos="2694"/>
                <w:tab w:val="num" w:pos="3240"/>
              </w:tabs>
              <w:spacing w:before="240" w:after="0" w:line="240" w:lineRule="auto"/>
              <w:jc w:val="both"/>
            </w:pPr>
            <w:r>
              <w:t>Minimalna żywotność lampy:</w:t>
            </w:r>
          </w:p>
          <w:p w14:paraId="5425CAFA" w14:textId="77777777" w:rsidR="002C7B47" w:rsidRDefault="002C7B47" w:rsidP="002C7B47">
            <w:p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</w:pPr>
          </w:p>
          <w:p w14:paraId="257EE803" w14:textId="229FC535" w:rsidR="002C7B47" w:rsidRDefault="002C7B47" w:rsidP="002C7B47">
            <w:pPr>
              <w:pStyle w:val="Akapitzlist"/>
              <w:numPr>
                <w:ilvl w:val="0"/>
                <w:numId w:val="28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6 000 h (tryb normalny)</w:t>
            </w:r>
          </w:p>
          <w:p w14:paraId="243E91F0" w14:textId="626F6282" w:rsidR="002C7B47" w:rsidRDefault="002C7B47" w:rsidP="002C7B47">
            <w:pPr>
              <w:pStyle w:val="Akapitzlist"/>
              <w:numPr>
                <w:ilvl w:val="0"/>
                <w:numId w:val="28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10 000 h (tryb ekonomiczny)</w:t>
            </w:r>
          </w:p>
          <w:p w14:paraId="680030E7" w14:textId="31FDC699" w:rsidR="002C7B47" w:rsidRPr="00507E2F" w:rsidRDefault="002C7B47" w:rsidP="002C7B47">
            <w:pPr>
              <w:pStyle w:val="Akapitzlist"/>
              <w:numPr>
                <w:ilvl w:val="0"/>
                <w:numId w:val="28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10 000 h (tryb ultra ekonomiczny)</w:t>
            </w:r>
          </w:p>
          <w:p w14:paraId="6A799281" w14:textId="451D42D8" w:rsidR="00E64BAE" w:rsidRPr="00507E2F" w:rsidRDefault="00E64BAE" w:rsidP="0056512A">
            <w:p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</w:pPr>
          </w:p>
        </w:tc>
      </w:tr>
      <w:tr w:rsidR="00E64BAE" w:rsidRPr="00501035" w14:paraId="1E544B41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0BE07C0D" w14:textId="77777777" w:rsidR="00E64BAE" w:rsidRPr="00507E2F" w:rsidRDefault="00E64BAE" w:rsidP="00E64BA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3E03C05C" w14:textId="3F7EB6C5" w:rsidR="00E64BAE" w:rsidRPr="00507E2F" w:rsidRDefault="002C7B47" w:rsidP="00E64BAE">
            <w:pPr>
              <w:jc w:val="center"/>
            </w:pPr>
            <w:r>
              <w:rPr>
                <w:bCs/>
              </w:rPr>
              <w:t>Złącza</w:t>
            </w:r>
          </w:p>
        </w:tc>
        <w:tc>
          <w:tcPr>
            <w:tcW w:w="8064" w:type="dxa"/>
            <w:vAlign w:val="center"/>
          </w:tcPr>
          <w:p w14:paraId="77886A64" w14:textId="0C11522A" w:rsidR="00E64BAE" w:rsidRDefault="002C7B47" w:rsidP="00412E65">
            <w:pPr>
              <w:tabs>
                <w:tab w:val="left" w:pos="1418"/>
                <w:tab w:val="left" w:pos="2694"/>
                <w:tab w:val="num" w:pos="3240"/>
              </w:tabs>
              <w:spacing w:before="240" w:after="0" w:line="240" w:lineRule="auto"/>
              <w:jc w:val="both"/>
            </w:pPr>
            <w:r>
              <w:t xml:space="preserve">Tylny panel projektora musi </w:t>
            </w:r>
            <w:r w:rsidR="00F60865">
              <w:t>posiadać przynajmniej</w:t>
            </w:r>
            <w:r>
              <w:t xml:space="preserve"> następujące złącza:</w:t>
            </w:r>
          </w:p>
          <w:p w14:paraId="3F64D7EF" w14:textId="77777777" w:rsidR="002C7B47" w:rsidRDefault="002C7B47" w:rsidP="00E64BAE">
            <w:p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</w:pPr>
          </w:p>
          <w:p w14:paraId="6529E092" w14:textId="77777777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Wejście audio – 1 szt.</w:t>
            </w:r>
          </w:p>
          <w:p w14:paraId="390C59BD" w14:textId="77777777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Wyjście audio – 1 szt.</w:t>
            </w:r>
          </w:p>
          <w:p w14:paraId="31B4D9E8" w14:textId="77777777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Composite Video – 1 szt.</w:t>
            </w:r>
          </w:p>
          <w:p w14:paraId="7C6363A9" w14:textId="661D2539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HDMI</w:t>
            </w:r>
            <w:r w:rsidR="0053680F">
              <w:t xml:space="preserve"> </w:t>
            </w:r>
            <w:r>
              <w:t xml:space="preserve"> – 2 szt.</w:t>
            </w:r>
          </w:p>
          <w:p w14:paraId="1FAC989D" w14:textId="77777777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VGA in (D-sub) – 1 szt.</w:t>
            </w:r>
          </w:p>
          <w:p w14:paraId="2653A026" w14:textId="77777777" w:rsidR="002C7B47" w:rsidRDefault="002C7B47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S-Video – 1 szt.</w:t>
            </w:r>
          </w:p>
          <w:p w14:paraId="25C6520B" w14:textId="6B6EB9F5" w:rsidR="002C7B47" w:rsidRDefault="00412E65" w:rsidP="002C7B47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jc w:val="both"/>
            </w:pPr>
            <w:r>
              <w:t>USB 2.0 (zasilanie) – 1 szt.</w:t>
            </w:r>
          </w:p>
          <w:p w14:paraId="30F767C2" w14:textId="424FC960" w:rsidR="00412E65" w:rsidRPr="00507E2F" w:rsidRDefault="00412E65" w:rsidP="00412E65">
            <w:pPr>
              <w:pStyle w:val="Akapitzlist"/>
              <w:numPr>
                <w:ilvl w:val="0"/>
                <w:numId w:val="29"/>
              </w:numPr>
              <w:tabs>
                <w:tab w:val="left" w:pos="1418"/>
                <w:tab w:val="left" w:pos="2694"/>
                <w:tab w:val="num" w:pos="3240"/>
              </w:tabs>
              <w:spacing w:after="240"/>
              <w:jc w:val="both"/>
            </w:pPr>
            <w:r>
              <w:t>AC in (wejście zasilania) – 1 szt.</w:t>
            </w:r>
          </w:p>
        </w:tc>
      </w:tr>
      <w:tr w:rsidR="00E64BAE" w:rsidRPr="00501035" w14:paraId="5E8D1B0C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464D3D41" w14:textId="77777777" w:rsidR="00E64BAE" w:rsidRPr="00507E2F" w:rsidRDefault="00E64BAE" w:rsidP="00E64BA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1C33C94C" w14:textId="4F87F672" w:rsidR="00E64BAE" w:rsidRPr="00507E2F" w:rsidRDefault="00E64BAE" w:rsidP="00E64BAE">
            <w:pPr>
              <w:jc w:val="center"/>
            </w:pPr>
            <w:r w:rsidRPr="00507E2F">
              <w:rPr>
                <w:bCs/>
              </w:rPr>
              <w:t>Certyfikaty i standardy</w:t>
            </w:r>
          </w:p>
        </w:tc>
        <w:tc>
          <w:tcPr>
            <w:tcW w:w="8064" w:type="dxa"/>
            <w:vAlign w:val="center"/>
          </w:tcPr>
          <w:p w14:paraId="544EB150" w14:textId="26FDA6C0" w:rsidR="00E64BAE" w:rsidRDefault="00716122" w:rsidP="00280C53">
            <w:pPr>
              <w:tabs>
                <w:tab w:val="left" w:pos="1418"/>
                <w:tab w:val="left" w:pos="2694"/>
                <w:tab w:val="num" w:pos="3240"/>
              </w:tabs>
              <w:spacing w:before="240"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Certyfikat ISO 9001:2015 dla producenta sprzętu (dokument potwierdzający spełnienie wymogu </w:t>
            </w:r>
            <w:r w:rsidR="009C1FE5">
              <w:rPr>
                <w:bCs/>
              </w:rPr>
              <w:t>załączyć do oferty</w:t>
            </w:r>
            <w:r>
              <w:rPr>
                <w:bCs/>
              </w:rPr>
              <w:t>).</w:t>
            </w:r>
          </w:p>
          <w:p w14:paraId="09BE248E" w14:textId="4CB6B4A1" w:rsidR="00716122" w:rsidRPr="00507E2F" w:rsidRDefault="00716122" w:rsidP="00280C53">
            <w:pPr>
              <w:tabs>
                <w:tab w:val="left" w:pos="1418"/>
                <w:tab w:val="left" w:pos="2694"/>
                <w:tab w:val="num" w:pos="3240"/>
              </w:tabs>
              <w:spacing w:line="240" w:lineRule="auto"/>
              <w:jc w:val="both"/>
            </w:pPr>
            <w:r>
              <w:t xml:space="preserve">Urządzenia wyprodukowane są przez producenta zgodnie z normą PN-EN ISO 50001 </w:t>
            </w:r>
            <w:r>
              <w:rPr>
                <w:bCs/>
              </w:rPr>
              <w:t>(</w:t>
            </w:r>
            <w:r w:rsidR="000D63A3">
              <w:rPr>
                <w:bCs/>
              </w:rPr>
              <w:t>dokument potwierdzający spełnienie wymogu załączyć do oferty</w:t>
            </w:r>
            <w:r>
              <w:rPr>
                <w:bCs/>
              </w:rPr>
              <w:t>).</w:t>
            </w:r>
          </w:p>
        </w:tc>
      </w:tr>
      <w:tr w:rsidR="007662C9" w:rsidRPr="00501035" w14:paraId="4FF74740" w14:textId="77777777" w:rsidTr="00501035">
        <w:trPr>
          <w:trHeight w:val="340"/>
        </w:trPr>
        <w:tc>
          <w:tcPr>
            <w:tcW w:w="534" w:type="dxa"/>
            <w:vAlign w:val="center"/>
          </w:tcPr>
          <w:p w14:paraId="208F37CF" w14:textId="77777777" w:rsidR="007662C9" w:rsidRPr="00507E2F" w:rsidRDefault="007662C9" w:rsidP="00E64BA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029" w:type="dxa"/>
            <w:vAlign w:val="center"/>
          </w:tcPr>
          <w:p w14:paraId="315CB34D" w14:textId="0B9B8FA8" w:rsidR="007662C9" w:rsidRPr="00507E2F" w:rsidRDefault="007A3C65" w:rsidP="00334B74">
            <w:pPr>
              <w:spacing w:before="240"/>
              <w:jc w:val="center"/>
              <w:rPr>
                <w:bCs/>
              </w:rPr>
            </w:pPr>
            <w:r w:rsidRPr="007A3C65">
              <w:rPr>
                <w:bCs/>
              </w:rPr>
              <w:t>Wsparcie techniczne producenta</w:t>
            </w:r>
          </w:p>
        </w:tc>
        <w:tc>
          <w:tcPr>
            <w:tcW w:w="8064" w:type="dxa"/>
            <w:vAlign w:val="center"/>
          </w:tcPr>
          <w:p w14:paraId="4C57662A" w14:textId="0246FD18" w:rsidR="007662C9" w:rsidRPr="00507E2F" w:rsidRDefault="007A3C65" w:rsidP="00334B74">
            <w:pPr>
              <w:tabs>
                <w:tab w:val="left" w:pos="1418"/>
                <w:tab w:val="left" w:pos="2694"/>
                <w:tab w:val="num" w:pos="3240"/>
              </w:tabs>
              <w:spacing w:after="0" w:line="240" w:lineRule="auto"/>
              <w:jc w:val="both"/>
              <w:rPr>
                <w:bCs/>
              </w:rPr>
            </w:pPr>
            <w:r w:rsidRPr="007A3C65">
              <w:rPr>
                <w:bCs/>
              </w:rPr>
              <w:t xml:space="preserve">Dostęp do najnowszych sterowników i </w:t>
            </w:r>
            <w:r w:rsidR="00280C53">
              <w:rPr>
                <w:bCs/>
              </w:rPr>
              <w:t>instrukcji</w:t>
            </w:r>
            <w:r w:rsidRPr="007A3C65">
              <w:rPr>
                <w:bCs/>
              </w:rPr>
              <w:t xml:space="preserve"> na stronie producenta </w:t>
            </w:r>
            <w:r w:rsidR="00280C53">
              <w:rPr>
                <w:bCs/>
              </w:rPr>
              <w:t>projektora</w:t>
            </w:r>
            <w:r w:rsidR="00334B74">
              <w:rPr>
                <w:bCs/>
              </w:rPr>
              <w:t>.</w:t>
            </w:r>
          </w:p>
        </w:tc>
      </w:tr>
    </w:tbl>
    <w:p w14:paraId="5E88FACC" w14:textId="77777777" w:rsidR="002451DF" w:rsidRDefault="002451DF" w:rsidP="002451DF">
      <w:pPr>
        <w:pStyle w:val="Nagwek1"/>
        <w:numPr>
          <w:ilvl w:val="0"/>
          <w:numId w:val="0"/>
        </w:numPr>
        <w:tabs>
          <w:tab w:val="left" w:pos="2694"/>
        </w:tabs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2159612"/>
    </w:p>
    <w:p w14:paraId="70F5C041" w14:textId="536FBD74" w:rsidR="00797293" w:rsidRDefault="00797293" w:rsidP="00A829FC">
      <w:pPr>
        <w:pStyle w:val="Nagwek1"/>
        <w:numPr>
          <w:ilvl w:val="0"/>
          <w:numId w:val="1"/>
        </w:numPr>
        <w:tabs>
          <w:tab w:val="left" w:pos="2694"/>
        </w:tabs>
        <w:spacing w:before="120"/>
        <w:ind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6D2B15">
        <w:rPr>
          <w:rFonts w:ascii="Times New Roman" w:hAnsi="Times New Roman" w:cs="Times New Roman"/>
          <w:color w:val="auto"/>
          <w:sz w:val="24"/>
          <w:szCs w:val="24"/>
        </w:rPr>
        <w:t>Wykaz lokalizacji Zamawiającego, w których możliwa będzie instalacja sprzętu:</w:t>
      </w:r>
    </w:p>
    <w:p w14:paraId="0D598328" w14:textId="77777777" w:rsidR="002451DF" w:rsidRPr="002451DF" w:rsidRDefault="002451DF" w:rsidP="002451DF"/>
    <w:p w14:paraId="3102BA54" w14:textId="77777777" w:rsidR="00797293" w:rsidRPr="002451DF" w:rsidRDefault="00797293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 w:rsidRPr="002451DF">
        <w:rPr>
          <w:bCs/>
          <w:kern w:val="32"/>
          <w:sz w:val="22"/>
          <w:szCs w:val="22"/>
        </w:rPr>
        <w:t>90-514, Łódź, Al. Tadeusza Kościuszki 47</w:t>
      </w:r>
    </w:p>
    <w:p w14:paraId="4A2D71CE" w14:textId="77777777" w:rsidR="00797293" w:rsidRPr="002451DF" w:rsidRDefault="00797293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 w:rsidRPr="002451DF">
        <w:rPr>
          <w:bCs/>
          <w:kern w:val="32"/>
          <w:sz w:val="22"/>
          <w:szCs w:val="22"/>
        </w:rPr>
        <w:t>90-360, Łódź, ul. Piotrkowska 238</w:t>
      </w:r>
    </w:p>
    <w:p w14:paraId="4C73BFD5" w14:textId="77777777" w:rsidR="00797293" w:rsidRPr="002451DF" w:rsidRDefault="00797293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 w:rsidRPr="002451DF">
        <w:rPr>
          <w:bCs/>
          <w:kern w:val="32"/>
          <w:sz w:val="22"/>
          <w:szCs w:val="22"/>
        </w:rPr>
        <w:t>90-103, Łódź, ul. Piotrkowska 86</w:t>
      </w:r>
    </w:p>
    <w:p w14:paraId="63229F76" w14:textId="77777777" w:rsidR="00797293" w:rsidRPr="002451DF" w:rsidRDefault="00797293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 w:rsidRPr="002451DF">
        <w:rPr>
          <w:bCs/>
          <w:kern w:val="32"/>
          <w:sz w:val="22"/>
          <w:szCs w:val="22"/>
        </w:rPr>
        <w:t>91-087, Łódź, ul. Wapienna 15</w:t>
      </w:r>
    </w:p>
    <w:p w14:paraId="06291799" w14:textId="4625535C" w:rsidR="00797293" w:rsidRDefault="00D5070A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91-027</w:t>
      </w:r>
      <w:r w:rsidR="00797293" w:rsidRPr="002451DF">
        <w:rPr>
          <w:bCs/>
          <w:kern w:val="32"/>
          <w:sz w:val="22"/>
          <w:szCs w:val="22"/>
        </w:rPr>
        <w:t xml:space="preserve">, Łódź, ul. </w:t>
      </w:r>
      <w:r>
        <w:rPr>
          <w:bCs/>
          <w:kern w:val="32"/>
          <w:sz w:val="22"/>
          <w:szCs w:val="22"/>
        </w:rPr>
        <w:t>Limanowskiego 194/196</w:t>
      </w:r>
    </w:p>
    <w:p w14:paraId="4016A136" w14:textId="03CE7201" w:rsidR="00A829FC" w:rsidRDefault="00D5070A" w:rsidP="00797293">
      <w:pPr>
        <w:pStyle w:val="Akapitzlist"/>
        <w:numPr>
          <w:ilvl w:val="0"/>
          <w:numId w:val="19"/>
        </w:numPr>
        <w:jc w:val="both"/>
        <w:rPr>
          <w:bCs/>
          <w:kern w:val="32"/>
          <w:sz w:val="22"/>
          <w:szCs w:val="22"/>
        </w:rPr>
      </w:pPr>
      <w:r>
        <w:rPr>
          <w:bCs/>
          <w:kern w:val="32"/>
          <w:sz w:val="22"/>
          <w:szCs w:val="22"/>
        </w:rPr>
        <w:t>90-001, Łódź, ul. Sobolowa 1</w:t>
      </w:r>
      <w:bookmarkEnd w:id="2"/>
    </w:p>
    <w:p w14:paraId="21F83887" w14:textId="77777777" w:rsidR="00A54CA0" w:rsidRPr="00A54CA0" w:rsidRDefault="00A54CA0" w:rsidP="00A54CA0">
      <w:pPr>
        <w:jc w:val="both"/>
        <w:rPr>
          <w:bCs/>
          <w:kern w:val="32"/>
        </w:rPr>
      </w:pPr>
    </w:p>
    <w:p w14:paraId="6477F49A" w14:textId="1018461D" w:rsidR="00CA7293" w:rsidRDefault="00CA7293" w:rsidP="00A829FC">
      <w:pPr>
        <w:pStyle w:val="Nagwek1"/>
        <w:numPr>
          <w:ilvl w:val="0"/>
          <w:numId w:val="1"/>
        </w:numPr>
        <w:spacing w:before="0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AB1045">
        <w:rPr>
          <w:rFonts w:ascii="Times New Roman" w:hAnsi="Times New Roman" w:cs="Times New Roman"/>
          <w:color w:val="auto"/>
          <w:sz w:val="24"/>
          <w:szCs w:val="24"/>
        </w:rPr>
        <w:t>WARUNKI GWARANCJI I SERWISU</w:t>
      </w:r>
    </w:p>
    <w:p w14:paraId="132B6A94" w14:textId="77777777" w:rsidR="00CA7293" w:rsidRPr="00CA7293" w:rsidRDefault="00CA7293" w:rsidP="00CA7293">
      <w:pPr>
        <w:pStyle w:val="Akapitzlist"/>
        <w:ind w:left="360"/>
      </w:pPr>
    </w:p>
    <w:p w14:paraId="68EFA32A" w14:textId="77777777" w:rsidR="00CA7293" w:rsidRPr="00AB1045" w:rsidRDefault="00CA7293" w:rsidP="00CA7293">
      <w:pPr>
        <w:pStyle w:val="Akapitzlist"/>
        <w:numPr>
          <w:ilvl w:val="0"/>
          <w:numId w:val="22"/>
        </w:numPr>
        <w:jc w:val="both"/>
      </w:pPr>
      <w:r w:rsidRPr="00AB1045">
        <w:t xml:space="preserve">Wykonawca udzieli gwarancji na prawidłowe działanie dostarczonego sprzętu na okres nie krótszy niż 36 miesięcy, jednak nie dłuższy niż 60 miesięcy </w:t>
      </w:r>
      <w:r w:rsidRPr="00AD2F45">
        <w:rPr>
          <w:i/>
        </w:rPr>
        <w:t>(termin uzależniony od złożonej oferty)</w:t>
      </w:r>
      <w:r w:rsidRPr="00AB1045">
        <w:t>.</w:t>
      </w:r>
    </w:p>
    <w:p w14:paraId="26F56068" w14:textId="72A7E1EB" w:rsidR="00CA7293" w:rsidRDefault="00CA7293" w:rsidP="007662C9">
      <w:pPr>
        <w:pStyle w:val="Akapitzlist"/>
        <w:numPr>
          <w:ilvl w:val="0"/>
          <w:numId w:val="22"/>
        </w:numPr>
        <w:jc w:val="both"/>
      </w:pPr>
      <w:r w:rsidRPr="00AB1045">
        <w:t xml:space="preserve">Dla </w:t>
      </w:r>
      <w:r w:rsidR="008734C9">
        <w:t xml:space="preserve">projektora </w:t>
      </w:r>
      <w:r w:rsidRPr="00AB1045">
        <w:t>opisanego w</w:t>
      </w:r>
      <w:r>
        <w:t xml:space="preserve"> rozdziale</w:t>
      </w:r>
      <w:r w:rsidRPr="00AB1045">
        <w:t xml:space="preserve"> I</w:t>
      </w:r>
      <w:r>
        <w:t xml:space="preserve"> „</w:t>
      </w:r>
      <w:r w:rsidRPr="00CA7293">
        <w:t xml:space="preserve">Wymagania dla </w:t>
      </w:r>
      <w:r w:rsidR="008734C9">
        <w:t>projektora</w:t>
      </w:r>
      <w:r>
        <w:t>”</w:t>
      </w:r>
      <w:r w:rsidR="007662C9">
        <w:t>:</w:t>
      </w:r>
      <w:r>
        <w:t xml:space="preserve"> </w:t>
      </w:r>
    </w:p>
    <w:p w14:paraId="1BACB429" w14:textId="77777777" w:rsidR="007662C9" w:rsidRPr="007662C9" w:rsidRDefault="007662C9" w:rsidP="007662C9">
      <w:pPr>
        <w:pStyle w:val="Akapitzlist"/>
        <w:numPr>
          <w:ilvl w:val="1"/>
          <w:numId w:val="22"/>
        </w:numPr>
      </w:pPr>
      <w:r w:rsidRPr="007662C9">
        <w:t>Czas reakcji serwisu - do końca następnego dnia roboczego</w:t>
      </w:r>
    </w:p>
    <w:p w14:paraId="65612705" w14:textId="605E22CD" w:rsidR="007662C9" w:rsidRDefault="007662C9" w:rsidP="007662C9">
      <w:pPr>
        <w:pStyle w:val="Akapitzlist"/>
        <w:numPr>
          <w:ilvl w:val="1"/>
          <w:numId w:val="22"/>
        </w:numPr>
        <w:jc w:val="both"/>
      </w:pPr>
      <w:r>
        <w:t xml:space="preserve">Firma serwisująca musi posiadać ISO 9001: 2015 na świadczenie usług serwisowych oraz posiadać autoryzacje producenta </w:t>
      </w:r>
      <w:r w:rsidR="008734C9">
        <w:t>projektora</w:t>
      </w:r>
      <w:r>
        <w:t xml:space="preserve"> – </w:t>
      </w:r>
      <w:r w:rsidR="000D63A3">
        <w:t>dokumenty potwierdzające załączyć do oferty</w:t>
      </w:r>
      <w:r>
        <w:t>.</w:t>
      </w:r>
    </w:p>
    <w:p w14:paraId="517D51B4" w14:textId="77777777" w:rsidR="007662C9" w:rsidRDefault="007662C9" w:rsidP="007662C9">
      <w:pPr>
        <w:pStyle w:val="Akapitzlist"/>
        <w:numPr>
          <w:ilvl w:val="1"/>
          <w:numId w:val="22"/>
        </w:numPr>
        <w:jc w:val="both"/>
      </w:pPr>
      <w:r>
        <w:t xml:space="preserve">Dedykowany portal techniczny producenta, umożliwiający Zamawiającemu zgłaszanie awarii oraz samodzielne zamawianie zamiennych komponentów. </w:t>
      </w:r>
    </w:p>
    <w:p w14:paraId="51545B82" w14:textId="56F4972C" w:rsidR="007662C9" w:rsidRPr="00AB1045" w:rsidRDefault="007662C9" w:rsidP="007662C9">
      <w:pPr>
        <w:pStyle w:val="Akapitzlist"/>
        <w:numPr>
          <w:ilvl w:val="1"/>
          <w:numId w:val="22"/>
        </w:numPr>
        <w:jc w:val="both"/>
      </w:pPr>
      <w:r>
        <w:t xml:space="preserve">Możliwość sprawdzenia kompletnych danych o urządzeniu na jednej witrynie internetowej prowadzonej przez producenta (automatyczna identyfikacja </w:t>
      </w:r>
      <w:r w:rsidR="008734C9">
        <w:t>projektora</w:t>
      </w:r>
      <w:r>
        <w:t xml:space="preserve">, konfiguracja fabryczna, Rodzaj gwarancji, data wygaśnięcia gwarancji, data produkcji </w:t>
      </w:r>
      <w:r w:rsidR="008734C9">
        <w:t>projektora</w:t>
      </w:r>
      <w:r>
        <w:t>, aktualizacje, diagnostyka, dedykowane oprogramowanie)</w:t>
      </w:r>
    </w:p>
    <w:p w14:paraId="2E802A62" w14:textId="77777777" w:rsidR="00CA7293" w:rsidRPr="00AB1045" w:rsidRDefault="00CA7293" w:rsidP="00CA7293">
      <w:pPr>
        <w:pStyle w:val="Akapitzlist"/>
        <w:numPr>
          <w:ilvl w:val="0"/>
          <w:numId w:val="22"/>
        </w:numPr>
        <w:jc w:val="both"/>
      </w:pPr>
      <w:r w:rsidRPr="00AB1045">
        <w:t>Usługi gwarancyjne będą dokonywane przez Wykonawcę w miejscu zainstalowania sprzętu</w:t>
      </w:r>
      <w:r w:rsidRPr="00AB1045">
        <w:tab/>
        <w:t xml:space="preserve"> Zamawiającego, a w przypadku konieczności naprawy uszkodzonego sprzętu poza miejscem jego zainstalowania, wszelkie czynności z tym związane będą wykonywane przez Wykonawcę. </w:t>
      </w:r>
    </w:p>
    <w:p w14:paraId="5684CC28" w14:textId="08271A0A" w:rsidR="00A71F33" w:rsidRPr="007E330E" w:rsidRDefault="00CA7293" w:rsidP="007E330E">
      <w:pPr>
        <w:pStyle w:val="Akapitzlist"/>
        <w:numPr>
          <w:ilvl w:val="0"/>
          <w:numId w:val="22"/>
        </w:numPr>
      </w:pPr>
      <w:r w:rsidRPr="00AB1045">
        <w:t xml:space="preserve">W przypadku awarii urządzeń Wykonawca zobowiązuje się do niezwłocznego usunięcia usterki (naprawy lub wymiany wadliwego bądź zużytego podzespołu lub urządzenia), nie dłużej jednak niż w ciągu 24 godzin, licząc od chwili zgłoszenia awarii. W przypadku niemożności naprawy uszkodzonego sprzętu w miejscu jego zainstalowania w ciągu 24 godzin, Wykonawca zobowiązuje się podstawić Zamawiającemu na czas naprawy sprzęt tego samego typu. Sprzęt zastępczy zostanie </w:t>
      </w:r>
      <w:r w:rsidRPr="00AB1045">
        <w:lastRenderedPageBreak/>
        <w:t>podstawiony i skonfigurowany przez Wykonawcę w miejsce uszkodzonego, nie później niż w ciągu 24 godzin od chwili zgłoszenia awarii. W przypadku konieczności naprawy uszkodzonego sprzętu poza miejscem jego zainstalowania u Zamawiającego, czas trwania naprawy nie może być dłuższy niż 21 dni.</w:t>
      </w:r>
    </w:p>
    <w:sectPr w:rsidR="00A71F33" w:rsidRPr="007E330E" w:rsidSect="00501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99DF" w14:textId="77777777" w:rsidR="00213BEB" w:rsidRDefault="00213BEB" w:rsidP="00507E2F">
      <w:pPr>
        <w:spacing w:after="0" w:line="240" w:lineRule="auto"/>
      </w:pPr>
      <w:r>
        <w:separator/>
      </w:r>
    </w:p>
  </w:endnote>
  <w:endnote w:type="continuationSeparator" w:id="0">
    <w:p w14:paraId="555B9424" w14:textId="77777777" w:rsidR="00213BEB" w:rsidRDefault="00213BEB" w:rsidP="0050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477C" w14:textId="77777777" w:rsidR="00213BEB" w:rsidRDefault="00213BEB" w:rsidP="00507E2F">
      <w:pPr>
        <w:spacing w:after="0" w:line="240" w:lineRule="auto"/>
      </w:pPr>
      <w:r>
        <w:separator/>
      </w:r>
    </w:p>
  </w:footnote>
  <w:footnote w:type="continuationSeparator" w:id="0">
    <w:p w14:paraId="4DFD1635" w14:textId="77777777" w:rsidR="00213BEB" w:rsidRDefault="00213BEB" w:rsidP="0050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4051"/>
    <w:multiLevelType w:val="hybridMultilevel"/>
    <w:tmpl w:val="5C0CCD06"/>
    <w:lvl w:ilvl="0" w:tplc="FED25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F0F01"/>
    <w:multiLevelType w:val="multilevel"/>
    <w:tmpl w:val="09A2CEDA"/>
    <w:lvl w:ilvl="0">
      <w:start w:val="4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</w:rPr>
    </w:lvl>
  </w:abstractNum>
  <w:abstractNum w:abstractNumId="2" w15:restartNumberingAfterBreak="0">
    <w:nsid w:val="110A5234"/>
    <w:multiLevelType w:val="multilevel"/>
    <w:tmpl w:val="281C44D8"/>
    <w:lvl w:ilvl="0">
      <w:start w:val="1"/>
      <w:numFmt w:val="upperRoman"/>
      <w:lvlText w:val="%1."/>
      <w:lvlJc w:val="left"/>
      <w:pPr>
        <w:ind w:left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</w:rPr>
    </w:lvl>
  </w:abstractNum>
  <w:abstractNum w:abstractNumId="3" w15:restartNumberingAfterBreak="0">
    <w:nsid w:val="130D1A1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F71043"/>
    <w:multiLevelType w:val="hybridMultilevel"/>
    <w:tmpl w:val="0B9EFB76"/>
    <w:lvl w:ilvl="0" w:tplc="BF56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741730">
      <w:start w:val="1"/>
      <w:numFmt w:val="decimal"/>
      <w:lvlText w:val="%2."/>
      <w:lvlJc w:val="left"/>
      <w:pPr>
        <w:tabs>
          <w:tab w:val="num" w:pos="1440"/>
        </w:tabs>
        <w:ind w:left="227" w:hanging="114"/>
      </w:pPr>
      <w:rPr>
        <w:rFonts w:hint="default"/>
      </w:rPr>
    </w:lvl>
    <w:lvl w:ilvl="2" w:tplc="D3FE32A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E12030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C2CD7"/>
    <w:multiLevelType w:val="hybridMultilevel"/>
    <w:tmpl w:val="E3722F64"/>
    <w:lvl w:ilvl="0" w:tplc="3466B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558BC"/>
    <w:multiLevelType w:val="hybridMultilevel"/>
    <w:tmpl w:val="F7784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E2C28"/>
    <w:multiLevelType w:val="hybridMultilevel"/>
    <w:tmpl w:val="0B9EFB76"/>
    <w:lvl w:ilvl="0" w:tplc="BF56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741730">
      <w:start w:val="1"/>
      <w:numFmt w:val="decimal"/>
      <w:lvlText w:val="%2."/>
      <w:lvlJc w:val="left"/>
      <w:pPr>
        <w:tabs>
          <w:tab w:val="num" w:pos="1440"/>
        </w:tabs>
        <w:ind w:left="227" w:hanging="114"/>
      </w:pPr>
      <w:rPr>
        <w:rFonts w:hint="default"/>
      </w:rPr>
    </w:lvl>
    <w:lvl w:ilvl="2" w:tplc="D3FE32A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E12030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4778A"/>
    <w:multiLevelType w:val="hybridMultilevel"/>
    <w:tmpl w:val="77C2EB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30E5E8C"/>
    <w:multiLevelType w:val="hybridMultilevel"/>
    <w:tmpl w:val="DCFE8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40397"/>
    <w:multiLevelType w:val="hybridMultilevel"/>
    <w:tmpl w:val="C76C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80D00"/>
    <w:multiLevelType w:val="multilevel"/>
    <w:tmpl w:val="77F8C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8.%2."/>
      <w:lvlJc w:val="left"/>
      <w:pPr>
        <w:tabs>
          <w:tab w:val="num" w:pos="907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206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" w:eastAsia="Arial Unicode MS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6415D6E"/>
    <w:multiLevelType w:val="hybridMultilevel"/>
    <w:tmpl w:val="3D4E2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A2223"/>
    <w:multiLevelType w:val="hybridMultilevel"/>
    <w:tmpl w:val="93F4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D37EE"/>
    <w:multiLevelType w:val="hybridMultilevel"/>
    <w:tmpl w:val="9D58AE1E"/>
    <w:lvl w:ilvl="0" w:tplc="BF56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741730">
      <w:start w:val="1"/>
      <w:numFmt w:val="decimal"/>
      <w:lvlText w:val="%2."/>
      <w:lvlJc w:val="left"/>
      <w:pPr>
        <w:tabs>
          <w:tab w:val="num" w:pos="1440"/>
        </w:tabs>
        <w:ind w:left="227" w:hanging="11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B1C86"/>
    <w:multiLevelType w:val="hybridMultilevel"/>
    <w:tmpl w:val="EB2EC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5550C"/>
    <w:multiLevelType w:val="multilevel"/>
    <w:tmpl w:val="F9FCE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2.%2."/>
      <w:lvlJc w:val="left"/>
      <w:pPr>
        <w:tabs>
          <w:tab w:val="num" w:pos="907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206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" w:eastAsia="Arial Unicode MS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3FA74C2"/>
    <w:multiLevelType w:val="multilevel"/>
    <w:tmpl w:val="281C44D8"/>
    <w:lvl w:ilvl="0">
      <w:start w:val="1"/>
      <w:numFmt w:val="upperRoman"/>
      <w:lvlText w:val="%1."/>
      <w:lvlJc w:val="left"/>
      <w:pPr>
        <w:ind w:left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</w:rPr>
    </w:lvl>
  </w:abstractNum>
  <w:abstractNum w:abstractNumId="18" w15:restartNumberingAfterBreak="0">
    <w:nsid w:val="642E09E5"/>
    <w:multiLevelType w:val="hybridMultilevel"/>
    <w:tmpl w:val="99FCFD28"/>
    <w:lvl w:ilvl="0" w:tplc="3A88E69E">
      <w:start w:val="1"/>
      <w:numFmt w:val="decimal"/>
      <w:lvlText w:val="%1."/>
      <w:lvlJc w:val="left"/>
      <w:pPr>
        <w:tabs>
          <w:tab w:val="num" w:pos="729"/>
        </w:tabs>
        <w:ind w:left="312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71892"/>
    <w:multiLevelType w:val="hybridMultilevel"/>
    <w:tmpl w:val="7D78F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3429C"/>
    <w:multiLevelType w:val="hybridMultilevel"/>
    <w:tmpl w:val="42344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A42C9"/>
    <w:multiLevelType w:val="hybridMultilevel"/>
    <w:tmpl w:val="35B4859A"/>
    <w:lvl w:ilvl="0" w:tplc="3A88E69E">
      <w:start w:val="1"/>
      <w:numFmt w:val="decimal"/>
      <w:lvlText w:val="%1."/>
      <w:lvlJc w:val="left"/>
      <w:pPr>
        <w:tabs>
          <w:tab w:val="num" w:pos="729"/>
        </w:tabs>
        <w:ind w:left="312" w:hanging="170"/>
      </w:pPr>
      <w:rPr>
        <w:rFonts w:hint="default"/>
      </w:rPr>
    </w:lvl>
    <w:lvl w:ilvl="1" w:tplc="D01E8A66">
      <w:start w:val="1"/>
      <w:numFmt w:val="decimal"/>
      <w:lvlText w:val="%2."/>
      <w:lvlJc w:val="right"/>
      <w:pPr>
        <w:tabs>
          <w:tab w:val="num" w:pos="1090"/>
        </w:tabs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1E4AB1"/>
    <w:multiLevelType w:val="hybridMultilevel"/>
    <w:tmpl w:val="35B4859A"/>
    <w:lvl w:ilvl="0" w:tplc="3A88E69E">
      <w:start w:val="1"/>
      <w:numFmt w:val="decimal"/>
      <w:lvlText w:val="%1."/>
      <w:lvlJc w:val="left"/>
      <w:pPr>
        <w:tabs>
          <w:tab w:val="num" w:pos="729"/>
        </w:tabs>
        <w:ind w:left="312" w:hanging="170"/>
      </w:pPr>
      <w:rPr>
        <w:rFonts w:hint="default"/>
      </w:rPr>
    </w:lvl>
    <w:lvl w:ilvl="1" w:tplc="D01E8A66">
      <w:start w:val="1"/>
      <w:numFmt w:val="decimal"/>
      <w:lvlText w:val="%2."/>
      <w:lvlJc w:val="right"/>
      <w:pPr>
        <w:tabs>
          <w:tab w:val="num" w:pos="1090"/>
        </w:tabs>
        <w:ind w:left="10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32189"/>
    <w:multiLevelType w:val="hybridMultilevel"/>
    <w:tmpl w:val="70784F4A"/>
    <w:lvl w:ilvl="0" w:tplc="59A0E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F085F"/>
    <w:multiLevelType w:val="hybridMultilevel"/>
    <w:tmpl w:val="90EC1382"/>
    <w:lvl w:ilvl="0" w:tplc="ED1AB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A1CC5"/>
    <w:multiLevelType w:val="hybridMultilevel"/>
    <w:tmpl w:val="C95A19D2"/>
    <w:lvl w:ilvl="0" w:tplc="ED1AB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2192047">
    <w:abstractNumId w:val="17"/>
  </w:num>
  <w:num w:numId="2" w16cid:durableId="1108816897">
    <w:abstractNumId w:val="5"/>
  </w:num>
  <w:num w:numId="3" w16cid:durableId="134687101">
    <w:abstractNumId w:val="24"/>
  </w:num>
  <w:num w:numId="4" w16cid:durableId="1027219676">
    <w:abstractNumId w:val="25"/>
  </w:num>
  <w:num w:numId="5" w16cid:durableId="1473132626">
    <w:abstractNumId w:val="4"/>
  </w:num>
  <w:num w:numId="6" w16cid:durableId="1506822162">
    <w:abstractNumId w:val="22"/>
  </w:num>
  <w:num w:numId="7" w16cid:durableId="801966158">
    <w:abstractNumId w:val="3"/>
  </w:num>
  <w:num w:numId="8" w16cid:durableId="48504284">
    <w:abstractNumId w:val="0"/>
  </w:num>
  <w:num w:numId="9" w16cid:durableId="1091317075">
    <w:abstractNumId w:val="14"/>
  </w:num>
  <w:num w:numId="10" w16cid:durableId="1327896863">
    <w:abstractNumId w:val="12"/>
  </w:num>
  <w:num w:numId="11" w16cid:durableId="231623864">
    <w:abstractNumId w:val="10"/>
  </w:num>
  <w:num w:numId="12" w16cid:durableId="176971725">
    <w:abstractNumId w:val="20"/>
  </w:num>
  <w:num w:numId="13" w16cid:durableId="1430856346">
    <w:abstractNumId w:val="7"/>
  </w:num>
  <w:num w:numId="14" w16cid:durableId="1026440502">
    <w:abstractNumId w:val="11"/>
  </w:num>
  <w:num w:numId="15" w16cid:durableId="1000043895">
    <w:abstractNumId w:val="3"/>
  </w:num>
  <w:num w:numId="16" w16cid:durableId="2002804309">
    <w:abstractNumId w:val="9"/>
  </w:num>
  <w:num w:numId="17" w16cid:durableId="246963484">
    <w:abstractNumId w:val="23"/>
  </w:num>
  <w:num w:numId="18" w16cid:durableId="122701848">
    <w:abstractNumId w:val="18"/>
  </w:num>
  <w:num w:numId="19" w16cid:durableId="369453875">
    <w:abstractNumId w:val="15"/>
  </w:num>
  <w:num w:numId="20" w16cid:durableId="673265686">
    <w:abstractNumId w:val="3"/>
  </w:num>
  <w:num w:numId="21" w16cid:durableId="1513377933">
    <w:abstractNumId w:val="3"/>
  </w:num>
  <w:num w:numId="22" w16cid:durableId="137383938">
    <w:abstractNumId w:val="16"/>
  </w:num>
  <w:num w:numId="23" w16cid:durableId="1820073665">
    <w:abstractNumId w:val="1"/>
  </w:num>
  <w:num w:numId="24" w16cid:durableId="1207327151">
    <w:abstractNumId w:val="2"/>
  </w:num>
  <w:num w:numId="25" w16cid:durableId="1276254042">
    <w:abstractNumId w:val="21"/>
  </w:num>
  <w:num w:numId="26" w16cid:durableId="223681820">
    <w:abstractNumId w:val="8"/>
  </w:num>
  <w:num w:numId="27" w16cid:durableId="836312879">
    <w:abstractNumId w:val="19"/>
  </w:num>
  <w:num w:numId="28" w16cid:durableId="1691569360">
    <w:abstractNumId w:val="6"/>
  </w:num>
  <w:num w:numId="29" w16cid:durableId="334694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63"/>
    <w:rsid w:val="00003879"/>
    <w:rsid w:val="0004430B"/>
    <w:rsid w:val="000450A0"/>
    <w:rsid w:val="00050088"/>
    <w:rsid w:val="000945ED"/>
    <w:rsid w:val="00095DD8"/>
    <w:rsid w:val="000D63A3"/>
    <w:rsid w:val="000F14CF"/>
    <w:rsid w:val="001061DA"/>
    <w:rsid w:val="00116CC1"/>
    <w:rsid w:val="00125E13"/>
    <w:rsid w:val="0014201A"/>
    <w:rsid w:val="00167927"/>
    <w:rsid w:val="001C210F"/>
    <w:rsid w:val="00201380"/>
    <w:rsid w:val="00213BEB"/>
    <w:rsid w:val="00240D44"/>
    <w:rsid w:val="002451DF"/>
    <w:rsid w:val="00254B7B"/>
    <w:rsid w:val="00280C53"/>
    <w:rsid w:val="002966B0"/>
    <w:rsid w:val="002C7B47"/>
    <w:rsid w:val="002F047D"/>
    <w:rsid w:val="00334B74"/>
    <w:rsid w:val="0037074E"/>
    <w:rsid w:val="00397D5F"/>
    <w:rsid w:val="003B2DB7"/>
    <w:rsid w:val="003C0046"/>
    <w:rsid w:val="003E2EB4"/>
    <w:rsid w:val="00412E65"/>
    <w:rsid w:val="004736F0"/>
    <w:rsid w:val="00496C16"/>
    <w:rsid w:val="004B2318"/>
    <w:rsid w:val="004E3EA8"/>
    <w:rsid w:val="004F4A1B"/>
    <w:rsid w:val="00501035"/>
    <w:rsid w:val="00507E2F"/>
    <w:rsid w:val="0053526F"/>
    <w:rsid w:val="0053680F"/>
    <w:rsid w:val="0056512A"/>
    <w:rsid w:val="005D1FF2"/>
    <w:rsid w:val="005D55A6"/>
    <w:rsid w:val="00685460"/>
    <w:rsid w:val="006C0771"/>
    <w:rsid w:val="00716122"/>
    <w:rsid w:val="00735850"/>
    <w:rsid w:val="00754170"/>
    <w:rsid w:val="007662C9"/>
    <w:rsid w:val="007804D9"/>
    <w:rsid w:val="00797293"/>
    <w:rsid w:val="007A3C65"/>
    <w:rsid w:val="007D00BA"/>
    <w:rsid w:val="007E330E"/>
    <w:rsid w:val="007F47A2"/>
    <w:rsid w:val="007F4F73"/>
    <w:rsid w:val="008734C9"/>
    <w:rsid w:val="008A2C5A"/>
    <w:rsid w:val="008E57DE"/>
    <w:rsid w:val="0094338E"/>
    <w:rsid w:val="00975E92"/>
    <w:rsid w:val="00995497"/>
    <w:rsid w:val="00995C46"/>
    <w:rsid w:val="009C1FE5"/>
    <w:rsid w:val="009D263B"/>
    <w:rsid w:val="009D2766"/>
    <w:rsid w:val="009F7563"/>
    <w:rsid w:val="00A120FD"/>
    <w:rsid w:val="00A22893"/>
    <w:rsid w:val="00A54CA0"/>
    <w:rsid w:val="00A71F33"/>
    <w:rsid w:val="00A829FC"/>
    <w:rsid w:val="00A82A9A"/>
    <w:rsid w:val="00AD69C4"/>
    <w:rsid w:val="00B03DFD"/>
    <w:rsid w:val="00B5533E"/>
    <w:rsid w:val="00BD4544"/>
    <w:rsid w:val="00BE2DF4"/>
    <w:rsid w:val="00BF1C40"/>
    <w:rsid w:val="00BF33AD"/>
    <w:rsid w:val="00C012A1"/>
    <w:rsid w:val="00C02FAB"/>
    <w:rsid w:val="00CA7293"/>
    <w:rsid w:val="00D163AA"/>
    <w:rsid w:val="00D5070A"/>
    <w:rsid w:val="00DA10F7"/>
    <w:rsid w:val="00DA5081"/>
    <w:rsid w:val="00DC00C9"/>
    <w:rsid w:val="00E00F51"/>
    <w:rsid w:val="00E03310"/>
    <w:rsid w:val="00E56763"/>
    <w:rsid w:val="00E601F5"/>
    <w:rsid w:val="00E64BAE"/>
    <w:rsid w:val="00EE4681"/>
    <w:rsid w:val="00EF7A6D"/>
    <w:rsid w:val="00F07F67"/>
    <w:rsid w:val="00F60865"/>
    <w:rsid w:val="00F659EC"/>
    <w:rsid w:val="00F834BF"/>
    <w:rsid w:val="00F862D7"/>
    <w:rsid w:val="00F91579"/>
    <w:rsid w:val="00F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7F5F"/>
  <w15:chartTrackingRefBased/>
  <w15:docId w15:val="{BAA62F15-A0D9-482B-9559-FA2FD453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56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7563"/>
    <w:pPr>
      <w:keepNext/>
      <w:keepLines/>
      <w:numPr>
        <w:numId w:val="7"/>
      </w:numPr>
      <w:spacing w:before="360" w:after="0" w:line="240" w:lineRule="auto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7563"/>
    <w:pPr>
      <w:keepNext/>
      <w:keepLines/>
      <w:numPr>
        <w:ilvl w:val="1"/>
        <w:numId w:val="7"/>
      </w:numPr>
      <w:spacing w:before="120" w:after="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7563"/>
    <w:pPr>
      <w:keepNext/>
      <w:keepLines/>
      <w:numPr>
        <w:ilvl w:val="2"/>
        <w:numId w:val="7"/>
      </w:numPr>
      <w:spacing w:before="20" w:after="0" w:line="240" w:lineRule="auto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7563"/>
    <w:pPr>
      <w:keepNext/>
      <w:keepLines/>
      <w:numPr>
        <w:ilvl w:val="3"/>
        <w:numId w:val="7"/>
      </w:numPr>
      <w:spacing w:before="200" w:after="0" w:line="264" w:lineRule="auto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7563"/>
    <w:pPr>
      <w:keepNext/>
      <w:keepLines/>
      <w:numPr>
        <w:ilvl w:val="4"/>
        <w:numId w:val="7"/>
      </w:numPr>
      <w:spacing w:before="200" w:after="0" w:line="264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F7563"/>
    <w:pPr>
      <w:keepNext/>
      <w:keepLines/>
      <w:numPr>
        <w:ilvl w:val="5"/>
        <w:numId w:val="7"/>
      </w:numPr>
      <w:spacing w:before="200" w:after="0" w:line="264" w:lineRule="auto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F7563"/>
    <w:pPr>
      <w:numPr>
        <w:ilvl w:val="6"/>
        <w:numId w:val="7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F7563"/>
    <w:pPr>
      <w:numPr>
        <w:ilvl w:val="7"/>
        <w:numId w:val="7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F7563"/>
    <w:pPr>
      <w:numPr>
        <w:ilvl w:val="8"/>
        <w:numId w:val="7"/>
      </w:numPr>
      <w:spacing w:before="240" w:after="60"/>
      <w:outlineLvl w:val="8"/>
    </w:pPr>
    <w:rPr>
      <w:rFonts w:ascii="Calibri Light" w:hAnsi="Calibri Light" w:cs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7563"/>
    <w:rPr>
      <w:rFonts w:ascii="Cambria" w:eastAsia="Times New Roman" w:hAnsi="Cambria" w:cs="Cambria"/>
      <w:b/>
      <w:bCs/>
      <w:color w:val="0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F7563"/>
    <w:rPr>
      <w:rFonts w:ascii="Cambria" w:eastAsia="Times New Roman" w:hAnsi="Cambria" w:cs="Cambria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F7563"/>
    <w:rPr>
      <w:rFonts w:ascii="Cambria" w:eastAsia="Times New Roman" w:hAnsi="Cambria" w:cs="Cambria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F7563"/>
    <w:rPr>
      <w:rFonts w:ascii="Calibri" w:eastAsia="Times New Roman" w:hAnsi="Calibri" w:cs="Calibri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F7563"/>
    <w:rPr>
      <w:rFonts w:ascii="Calibri" w:eastAsia="Times New Roman" w:hAnsi="Calibri" w:cs="Calibri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F7563"/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F7563"/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F7563"/>
    <w:rPr>
      <w:rFonts w:ascii="Calibri" w:eastAsia="Times New Roman" w:hAnsi="Calibri" w:cs="Calibri"/>
      <w:i/>
      <w:iCs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F7563"/>
    <w:rPr>
      <w:rFonts w:ascii="Calibri Light" w:eastAsia="Times New Roman" w:hAnsi="Calibri Light" w:cs="Calibri Light"/>
      <w:color w:val="000000"/>
      <w:lang w:eastAsia="pl-PL"/>
    </w:rPr>
  </w:style>
  <w:style w:type="paragraph" w:customStyle="1" w:styleId="Akapitzlist1">
    <w:name w:val="Akapit z listą1"/>
    <w:basedOn w:val="Normalny"/>
    <w:uiPriority w:val="99"/>
    <w:rsid w:val="009F7563"/>
    <w:pPr>
      <w:ind w:left="720"/>
      <w:contextualSpacing/>
    </w:pPr>
  </w:style>
  <w:style w:type="character" w:styleId="Hipercze">
    <w:name w:val="Hyperlink"/>
    <w:rsid w:val="003E2EB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7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0F5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035"/>
    <w:pPr>
      <w:spacing w:after="0" w:line="240" w:lineRule="auto"/>
      <w:ind w:left="720"/>
      <w:contextualSpacing/>
    </w:pPr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E2F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7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E2F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A7B7-AF3C-408F-94CA-B876D307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Brzozowski</dc:creator>
  <cp:keywords/>
  <dc:description/>
  <cp:lastModifiedBy>Piotr Krajewski</cp:lastModifiedBy>
  <cp:revision>6</cp:revision>
  <cp:lastPrinted>2019-09-26T08:03:00Z</cp:lastPrinted>
  <dcterms:created xsi:type="dcterms:W3CDTF">2024-08-21T12:55:00Z</dcterms:created>
  <dcterms:modified xsi:type="dcterms:W3CDTF">2024-09-20T11:01:00Z</dcterms:modified>
</cp:coreProperties>
</file>