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100" w:after="10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Informacja o przetwarzaniu danych osobowych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Poniżej znajdują się niezbędne informacje dotyczące przetwarzania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– zwanym dalej RODO.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4"/>
        <w:gridCol w:w="3638"/>
        <w:gridCol w:w="3382"/>
      </w:tblGrid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Tożsamość Administratora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Administratorem przetwarzanych w Urzędzie Miejskim w Pyrzycach danych osobowych jest Burmistrz Pyrzyc (ul. Plac Ratuszowy 1, 74-200 Pyrzyce, tel. 91 397 03 10).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Dane kontaktowe Inspektora Ochrony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We wszelkich sprawach związanych z przetwarzaniem danych osobowych, w tym przysługujących Pani/Panu uprawnień, możliwy jest kontakt z Inspektorem Ochrony Danych pod adresem email iod@pyrzyce.um.gov.pl lub z Administratorem.</w:t>
            </w:r>
          </w:p>
        </w:tc>
      </w:tr>
      <w:tr>
        <w:trPr/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Cele przetwarzania i podstawy prawne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Cel przetwarzania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Podstawa prawna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Wypełnienie obowiązków prawnych ciążących na Administratorze tj. organizowanie i prowadzenie postępowań; koordynowanie opracowanych przez wydziały i biura planów zamówień publicznych oraz prowadzenie sprawozdawczości z udzielonych zamówień publicznych; publikacja zamówień; prowadzenie spraw z zakresu działania Komisji Przetargowej oraz wybór najkorzystniejszej oferty służącej realizacji zadań publicznych.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c) RODO w zw. z: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1) art. 18; art. 19; art. 74-76; art. 78 i art. 269 ustawy z dnia 11 września 2019 r. Prawo zamówień publicznych;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 rozporządzeniem Ministra Rozwoju, Pracy i Technologii z dnia 18 grudnia 2020 r. w sprawie wzoru planu postępowań o udzielenie zamówień;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rozporządzeniem Ministra Rozwoju, Pracy i Technologii z dnia 18 grudnia 2020 r. w sprawie protokołów postępowania oraz dokumentacji postępowania o udzielenie zamówienia publicznego;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 rozporządzeniem Ministra Rozwoju, Pracy i Technologii z dnia 23 grudnia 2020 r. w sprawie podmiotowych środków dowodowych oraz innych dokumentów lub oświadczeń, jakich może żądać zamawiający od wykonawcy;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 ustawą z dnia 14 lipca 1983 r. o narodowym zasobie archiwalnym i archiwach;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 rozporządzeniem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Zawarcie i prawidłowa realizacja umowy w przypadku wyboru oferty.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b) RODO.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Wykonanie obowiązków prawnych np. sporządzenie dokumentów księgowych oraz wypełnianie obowiązków prawno-podatkowych.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c) RODO w zw. z w szczególności: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ustawą z dnia 29 lipca 1997 r. Ordynacja podatkowa;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ustawą z dnia 29 września 1994 r. o rachunkowości.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Zrealizowanie prawnie uzasadnionego interesu Administratora, tj. ustalenie, obrona lub dochodzenie ewentualnych roszczeń.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f) RODO.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Odbiorcy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 osobowe mogą być udostępnione następującym kategoriom odbiorców: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 w:eastAsia="SimSu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>podmiotom, którym muszą zostać udostępnione na podstawie przepisów prawa;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 w:eastAsia="SimSu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>podmiotom, z którymi współpracujemy w celu zrealizowania naszych praw i zobowiązań (świadczącym usługi informatyczne, prawne, windykacyjne, kadrowe, księgowe, transportowe, kurierskie oraz pocztowe);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360"/>
              <w:jc w:val="both"/>
              <w:rPr>
                <w:rFonts w:ascii="Times New Roman" w:hAnsi="Times New Roman" w:eastAsia="SimSu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>podmiotom prowadzącym działalność płatniczą (banki, instytucje płatnicze);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>osoby lub podmioty, którym udostępniona zostanie dokumentacja postępowania w oparciu o art. 8 oraz art. 96 ust. 3 ustawy z dnia 29 stycznia 2004 r. Prawo zamówień publicznych.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1777244"/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Okres przechowywania danych</w:t>
            </w:r>
            <w:bookmarkEnd w:id="0"/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 są przechowywane przez okres niezbędny do realizacji celów przetwarzania, a po tym czasie przez okres oraz w zakresie wymaganym przez przepisy powszechnie obowiązującego prawa, w szczególności ze względu na cele archiwalne, cele badań naukowych lub historycznych lub cele statystyczne.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szczególności: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a) w przypadku dokumentacji zamówień publicznych dane osobowe są przechowywane przez okres 5 lat licząc od stycznia kolejnego roku po zakończeniu sprawy;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b) w przypadku umów zawartych w wyniku postępowania w trybie zamówień publicznych dane osobowe są przechowywane przez okres 10 lat licząc od stycznia kolejnego roku po zakończeniu sprawy;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c) okres przechowywania danych osobowych może zostać wydłużony o okresy wynikające z obowiązków ustawowych lub w celu ochrony praw Administratora lub osób trzecich, w tym w celu dochodzenia roszczeń bądź obrony przed nimi.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upływie ostatniego z tych okresów dane osobowe zostaną usunięte lub zanonimizowane.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Prawa Osób, których dane dotyczą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związku z przetwarzaniem przez nas danych osobowych możliwe jest skorzystanie z następujących praw: dostępu do swoich danych, sprostowania (poprawiania) danych, usunięcia danych, ograniczenia przetwarzania oraz przeniesienia swoich danych. Przysługuje Pani/Panu także prawo wniesienia skargi do organu nadzorującego przestrzeganie przepisów ochrony danych osobowych.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Niezależnie od powyższych praw, możliwe jest wniesienie sprzeciwu wobec przetwarzania danych dokonywanego w ramach prawnie uzasadnione interesu administratora lub interesu publicznego. Dane osobowe przestaną być przetwarzane w tych celach, chyba że zostanie wykazane, że w stosunku do Pani/Pana danych istnieją ważne prawnie uzasadnione podstawy, które są nadrzędne wobec Pani/Pana interesów, praw i wolności lub dane te będą niezbędne do ewentualnego ustalenia, dochodzenia lub obrony roszczeń.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Aby mieć pewność, że jest Pani/Pan uprawniony do skorzystania z praw możemy prosić o podanie dodatkowych informacji, pozwalających na dokonanie identyfikacji.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Obowiązek podania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Podanie przez Panią/Pana danych osobowych jest dobrowolne, ale konieczne do brania udziału w postępowaniu o udzielenie zamówienia publicznego. Odmowa podania danych może skutkować niemożliwością udziału w postępowaniu.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Dodatkowe informacje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będziemy przekazywać danych poza Europejski Obszar Gospodarczy lub do organizacji międzynarodowych w rozumieniu RODO. Nie podejmujemy decyzji w sposób zautomatyzowany, czyli na podstawie automatycznej analizy danych.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Raport PSZOK Dane.dbo.Arkusz1$"/>
  </w:mailMerge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c3d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e5c3d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e73b1"/>
    <w:rPr>
      <w:rFonts w:ascii="Segoe UI" w:hAnsi="Segoe UI" w:eastAsia="Courier New" w:cs="Segoe UI"/>
      <w:color w:val="000000"/>
      <w:kern w:val="2"/>
      <w:sz w:val="18"/>
      <w:szCs w:val="18"/>
      <w:lang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73b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e73b1"/>
    <w:rPr>
      <w:rFonts w:ascii="Courier New" w:hAnsi="Courier New" w:eastAsia="Courier New" w:cs="Courier New"/>
      <w:color w:val="000000"/>
      <w:kern w:val="2"/>
      <w:sz w:val="20"/>
      <w:szCs w:val="20"/>
      <w:lang w:eastAsia="pl-PL" w:bidi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df4131"/>
    <w:rPr>
      <w:rFonts w:ascii="Courier New" w:hAnsi="Courier New" w:eastAsia="Courier New" w:cs="Courier New"/>
      <w:b/>
      <w:bCs/>
      <w:color w:val="000000"/>
      <w:kern w:val="2"/>
      <w:sz w:val="20"/>
      <w:szCs w:val="20"/>
      <w:lang w:eastAsia="pl-PL" w:bidi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5c3d"/>
    <w:pPr>
      <w:suppressAutoHyphens w:val="false"/>
      <w:spacing w:lineRule="auto" w:line="276" w:before="0" w:after="200"/>
      <w:ind w:hanging="0" w:left="720"/>
      <w:contextualSpacing/>
    </w:pPr>
    <w:rPr>
      <w:rFonts w:ascii="Calibri" w:hAnsi="Calibri" w:eastAsia="Calibri" w:cs="Times New Roman"/>
      <w:color w:val="auto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73b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e73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f4131"/>
    <w:pPr/>
    <w:rPr>
      <w:b/>
      <w:bCs/>
    </w:rPr>
  </w:style>
  <w:style w:type="paragraph" w:styleId="Revision">
    <w:name w:val="Revision"/>
    <w:uiPriority w:val="99"/>
    <w:semiHidden/>
    <w:qFormat/>
    <w:rsid w:val="001b2b5e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l-PL"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3</Pages>
  <Words>805</Words>
  <Characters>5196</Characters>
  <CharactersWithSpaces>5950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2022-06-02T08:33:00Z</dcterms:created>
  <dc:creator>BSk</dc:creator>
  <dc:description/>
  <dc:language>pl-PL</dc:language>
  <cp:lastModifiedBy>Katarzyna Jankowska</cp:lastModifiedBy>
  <dcterms:modified xsi:type="dcterms:W3CDTF">2022-06-02T08:33:00Z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