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DB" w:rsidRPr="00915DB3" w:rsidRDefault="00CE79DB" w:rsidP="00CE79DB">
      <w:pPr>
        <w:spacing w:line="256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8</w:t>
      </w:r>
      <w:r w:rsidRPr="00915DB3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8D4A9C" w:rsidRDefault="008D4A9C" w:rsidP="008D4A9C">
      <w:pPr>
        <w:spacing w:line="276" w:lineRule="auto"/>
        <w:ind w:left="3261" w:hanging="3260"/>
        <w:jc w:val="right"/>
      </w:pPr>
    </w:p>
    <w:p w:rsidR="008D4A9C" w:rsidRDefault="008D4A9C" w:rsidP="008D4A9C">
      <w:pPr>
        <w:pStyle w:val="FR1"/>
        <w:spacing w:line="276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SPECYFIKACJA TECHNICZNA </w:t>
      </w:r>
    </w:p>
    <w:p w:rsidR="008D4A9C" w:rsidRDefault="008D4A9C" w:rsidP="008D4A9C">
      <w:pPr>
        <w:pStyle w:val="Default"/>
        <w:spacing w:line="276" w:lineRule="auto"/>
        <w:jc w:val="center"/>
        <w:rPr>
          <w:rFonts w:ascii="Arial Black" w:hAnsi="Arial Black"/>
        </w:rPr>
      </w:pPr>
      <w:r>
        <w:rPr>
          <w:rFonts w:ascii="Arial Black" w:hAnsi="Arial Black" w:cs="Times New Roman"/>
          <w:b/>
          <w:bCs/>
        </w:rPr>
        <w:t>DLA POJAZDU CZTEROKOŁOWEGO TYPU QUAD</w:t>
      </w:r>
    </w:p>
    <w:p w:rsidR="008D4A9C" w:rsidRDefault="008D4A9C" w:rsidP="008D4A9C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8D4A9C" w:rsidRDefault="008D4A9C" w:rsidP="008D4A9C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I. WYMAGANIA OGÓLNE</w:t>
      </w:r>
    </w:p>
    <w:p w:rsidR="008D4A9C" w:rsidRDefault="008D4A9C" w:rsidP="008D4A9C">
      <w:pPr>
        <w:pStyle w:val="Default"/>
        <w:spacing w:line="276" w:lineRule="auto"/>
        <w:rPr>
          <w:rFonts w:cs="Times New Roman"/>
          <w:b/>
          <w:bCs/>
        </w:rPr>
      </w:pPr>
    </w:p>
    <w:p w:rsidR="008D4A9C" w:rsidRDefault="008D4A9C" w:rsidP="008D4A9C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Przedmiot opracowania.</w:t>
      </w:r>
    </w:p>
    <w:p w:rsidR="008D4A9C" w:rsidRDefault="008D4A9C" w:rsidP="008D4A9C">
      <w:pPr>
        <w:pStyle w:val="Default"/>
        <w:spacing w:line="276" w:lineRule="auto"/>
        <w:ind w:left="284"/>
        <w:jc w:val="both"/>
      </w:pPr>
      <w:r>
        <w:rPr>
          <w:rFonts w:ascii="Times New Roman" w:hAnsi="Times New Roman"/>
          <w:sz w:val="22"/>
          <w:szCs w:val="22"/>
        </w:rPr>
        <w:t xml:space="preserve">Przedmiotem opracowania jest specyfikacja techniczna dla 1 szt. fabrycznie nowego pojazdu czterokołowego typu QUAD o nadwoziu przystosowanym do bezpiecznego przewozu dwóch osób i ładunku po drogach publicznych. </w:t>
      </w:r>
    </w:p>
    <w:p w:rsidR="008D4A9C" w:rsidRDefault="008D4A9C" w:rsidP="008D4A9C">
      <w:pPr>
        <w:pStyle w:val="Default"/>
        <w:spacing w:line="276" w:lineRule="auto"/>
        <w:ind w:left="284"/>
        <w:jc w:val="both"/>
      </w:pPr>
      <w:r>
        <w:rPr>
          <w:rFonts w:ascii="Times New Roman" w:hAnsi="Times New Roman"/>
          <w:sz w:val="22"/>
          <w:szCs w:val="22"/>
        </w:rPr>
        <w:t>Pojazd musi posiadać homologację L7e, spełniający normę emisji spalin Euro 5.</w:t>
      </w:r>
    </w:p>
    <w:p w:rsidR="008D4A9C" w:rsidRDefault="008D4A9C" w:rsidP="008D4A9C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Przeznaczenie pojazdu.</w:t>
      </w:r>
    </w:p>
    <w:p w:rsidR="008D4A9C" w:rsidRDefault="008D4A9C" w:rsidP="008D4A9C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Pojazd będzie wykorzystywany do prowadzenia służby patrolowej oraz działań poszukiwawczo -ratunkowych.</w:t>
      </w:r>
    </w:p>
    <w:p w:rsidR="008D4A9C" w:rsidRDefault="008D4A9C" w:rsidP="008D4A9C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Warunki eksploatacji pojazdu.</w:t>
      </w:r>
    </w:p>
    <w:p w:rsidR="008D4A9C" w:rsidRDefault="008D4A9C" w:rsidP="008D4A9C">
      <w:pPr>
        <w:spacing w:line="276" w:lineRule="auto"/>
        <w:ind w:left="284"/>
        <w:jc w:val="both"/>
      </w:pPr>
      <w:r>
        <w:t>Pojazd będzie użytkowany:</w:t>
      </w:r>
    </w:p>
    <w:p w:rsidR="008D4A9C" w:rsidRDefault="008D4A9C" w:rsidP="008D4A9C">
      <w:pPr>
        <w:numPr>
          <w:ilvl w:val="0"/>
          <w:numId w:val="16"/>
        </w:numPr>
        <w:suppressAutoHyphens/>
        <w:spacing w:after="0" w:line="276" w:lineRule="auto"/>
        <w:ind w:left="624" w:hanging="340"/>
        <w:jc w:val="both"/>
      </w:pPr>
      <w:r>
        <w:t xml:space="preserve">we wszystkich porach roku i doby, </w:t>
      </w:r>
    </w:p>
    <w:p w:rsidR="008D4A9C" w:rsidRDefault="008D4A9C" w:rsidP="008D4A9C">
      <w:pPr>
        <w:numPr>
          <w:ilvl w:val="0"/>
          <w:numId w:val="16"/>
        </w:numPr>
        <w:suppressAutoHyphens/>
        <w:spacing w:after="0" w:line="276" w:lineRule="auto"/>
        <w:ind w:left="624" w:hanging="340"/>
        <w:jc w:val="both"/>
      </w:pPr>
      <w:r>
        <w:t xml:space="preserve">w warunkach atmosferycznych spotykanych w polskiej strefie klimatycznej, </w:t>
      </w:r>
    </w:p>
    <w:p w:rsidR="008D4A9C" w:rsidRDefault="008D4A9C" w:rsidP="008D4A9C">
      <w:pPr>
        <w:numPr>
          <w:ilvl w:val="0"/>
          <w:numId w:val="16"/>
        </w:numPr>
        <w:suppressAutoHyphens/>
        <w:spacing w:after="0" w:line="276" w:lineRule="auto"/>
        <w:ind w:left="624" w:hanging="340"/>
        <w:jc w:val="both"/>
      </w:pPr>
      <w:r>
        <w:t xml:space="preserve">jeździł po utwardzonych nawierzchniach, drogach gruntowych oraz w terenie trudno dostępnym, </w:t>
      </w:r>
    </w:p>
    <w:p w:rsidR="008D4A9C" w:rsidRDefault="008D4A9C" w:rsidP="008D4A9C">
      <w:pPr>
        <w:numPr>
          <w:ilvl w:val="0"/>
          <w:numId w:val="16"/>
        </w:numPr>
        <w:suppressAutoHyphens/>
        <w:spacing w:after="0" w:line="276" w:lineRule="auto"/>
        <w:ind w:left="624" w:hanging="340"/>
        <w:jc w:val="both"/>
      </w:pPr>
      <w:r>
        <w:t xml:space="preserve">przechowywany na wolnym powietrzu, </w:t>
      </w:r>
    </w:p>
    <w:p w:rsidR="008D4A9C" w:rsidRDefault="008D4A9C" w:rsidP="008D4A9C">
      <w:pPr>
        <w:numPr>
          <w:ilvl w:val="0"/>
          <w:numId w:val="16"/>
        </w:numPr>
        <w:suppressAutoHyphens/>
        <w:spacing w:after="0" w:line="276" w:lineRule="auto"/>
        <w:ind w:left="624" w:hanging="340"/>
        <w:jc w:val="both"/>
      </w:pPr>
      <w:r>
        <w:t>naprawiany w zapleczu technicznym Zamawiającego lub przez autoryzowany serwis Wykonawcy, znajdujący się na terenie województwa mazowieckiego.</w:t>
      </w:r>
    </w:p>
    <w:p w:rsidR="008D4A9C" w:rsidRDefault="008D4A9C" w:rsidP="008D4A9C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Wymagania formalne.</w:t>
      </w:r>
    </w:p>
    <w:p w:rsidR="008D4A9C" w:rsidRDefault="008D4A9C" w:rsidP="008D4A9C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</w:pPr>
      <w:r>
        <w:t>Pojazd musi spełniać wymagania określone w Ustawie z dnia 20 czerwca 1997 r. Prawo o ruchu drogowym (</w:t>
      </w:r>
      <w:proofErr w:type="spellStart"/>
      <w:r>
        <w:t>t.jedn</w:t>
      </w:r>
      <w:proofErr w:type="spellEnd"/>
      <w:r>
        <w:t xml:space="preserve">. Dz.U. z 2022r., poz. 988 z </w:t>
      </w:r>
      <w:proofErr w:type="spellStart"/>
      <w:r>
        <w:t>późn</w:t>
      </w:r>
      <w:proofErr w:type="spellEnd"/>
      <w:r>
        <w:t>. zm.).</w:t>
      </w:r>
    </w:p>
    <w:p w:rsidR="008D4A9C" w:rsidRDefault="008D4A9C" w:rsidP="008D4A9C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</w:pPr>
      <w:r>
        <w:t xml:space="preserve">Pojazd musi spełniać wymagania określone w Rozporządzeniu Ministra Infrastruktury z dnia 31 grudnia 2002r. w sprawie warunków technicznych pojazdów oraz zakresu ich niezbędnego wyposażenia (Dz.U. 2016 poz. 2022 z </w:t>
      </w:r>
      <w:proofErr w:type="spellStart"/>
      <w:r>
        <w:t>późn</w:t>
      </w:r>
      <w:proofErr w:type="spellEnd"/>
      <w:r>
        <w:t>. zm.) oraz Rozporządzeniu Ministra Infrastruktury z dnia 24.08.2015 w sprawie homologacji typu pojazdów samochodowych i przyczep oraz ich przedmiotów wyposażenia lub części (Dz.U. 2015 poz. 1475).</w:t>
      </w:r>
    </w:p>
    <w:p w:rsidR="008D4A9C" w:rsidRDefault="008D4A9C" w:rsidP="008D4A9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Pojazd musi być budowany z wykorzystaniem pojazdu bazowego posiadającego homologację zgodnie z Ustawą z dnia 20 czerwca 1997 r. Prawo o ruchu drogowym lub </w:t>
      </w:r>
      <w:r>
        <w:rPr>
          <w:rFonts w:ascii="Times New Roman" w:hAnsi="Times New Roman" w:cstheme="minorHAnsi"/>
          <w:sz w:val="22"/>
          <w:szCs w:val="22"/>
        </w:rPr>
        <w:t xml:space="preserve">Rozporządzenie Parlamentu Europejskiego I Rady (UE) 2019/2144 </w:t>
      </w:r>
      <w:r>
        <w:rPr>
          <w:rFonts w:ascii="Times New Roman" w:hAnsi="Times New Roman"/>
          <w:sz w:val="22"/>
          <w:szCs w:val="22"/>
        </w:rPr>
        <w:t xml:space="preserve">z dnia 27 listopada 2019 r. </w:t>
      </w:r>
      <w:r>
        <w:rPr>
          <w:rFonts w:ascii="Times New Roman" w:hAnsi="Times New Roman" w:cs="Arial"/>
          <w:sz w:val="22"/>
          <w:szCs w:val="22"/>
        </w:rPr>
        <w:t>w sprawie wymogów dotyczących homologacji typu pojazdów silnikowych i ich przyczep oraz układów, komponentów i oddzielnych zespołów technicznych przeznaczonych do tych pojazdów, w odniesieniu do ich ogólnego bezpieczeństwa oraz ochrony osób znajdujących się w pojeździe niechronionych uczestników ruchu drogowego, zmieniające rozporządzenie Parlamentu Europejskiego i Rady (UE)  2018/858.</w:t>
      </w:r>
    </w:p>
    <w:p w:rsidR="008D4A9C" w:rsidRDefault="008D4A9C" w:rsidP="008D4A9C">
      <w:pPr>
        <w:pStyle w:val="Akapitzlist"/>
        <w:spacing w:line="276" w:lineRule="auto"/>
        <w:ind w:left="283"/>
        <w:jc w:val="both"/>
        <w:rPr>
          <w:rFonts w:ascii="Arial Black" w:hAnsi="Arial Black"/>
          <w:u w:val="single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>Dokument potwierdzający spełnienie wymogu (świadectwo zgodności WE pojazdu bazowego) musi być przedstawiony przez Wykonawcę w fazie składania oferty przetargowej.</w:t>
      </w:r>
    </w:p>
    <w:p w:rsidR="008D4A9C" w:rsidRDefault="008D4A9C" w:rsidP="008D4A9C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</w:pPr>
      <w:r>
        <w:t xml:space="preserve">W książce gwarancyjnej pojazdu Wykonawca zobowiązany jest wprowadzić zapis: </w:t>
      </w:r>
    </w:p>
    <w:p w:rsidR="008D4A9C" w:rsidRDefault="008D4A9C" w:rsidP="008D4A9C">
      <w:pPr>
        <w:spacing w:line="276" w:lineRule="auto"/>
        <w:ind w:left="283"/>
        <w:jc w:val="both"/>
      </w:pPr>
      <w:r>
        <w:rPr>
          <w:i/>
        </w:rPr>
        <w:lastRenderedPageBreak/>
        <w:t>„Zmiany adaptacyjne pojazdu powstałe w trakcie jego eksploatacji, dotyczące montażu policyjnego wyposażenia specjalnego, nie mogą powodować utraty ani ograniczenia uprawnień wynikających z fabrycznej gwarancji”.</w:t>
      </w:r>
    </w:p>
    <w:p w:rsidR="008D4A9C" w:rsidRDefault="008D4A9C" w:rsidP="008D4A9C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</w:pPr>
      <w:r>
        <w:t>Wykonawca zobowiązuje się do bezpłatnego udzielania konsultacji w zakresie możliwości zabudowania oraz zaleceń dotyczących montażu w pojeździe: instalacji antenowych, instalacji uprzywilejowania, instalacji zasilania urządzeń łączności radiowej i innego sprzętu służbowego.</w:t>
      </w:r>
    </w:p>
    <w:p w:rsidR="008D4A9C" w:rsidRDefault="008D4A9C" w:rsidP="008D4A9C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dokona przeglądu zerowego z wpisem do książki gwarancyjnej pojazdu.</w:t>
      </w:r>
    </w:p>
    <w:p w:rsidR="008D4A9C" w:rsidRDefault="008D4A9C" w:rsidP="008D4A9C">
      <w:pPr>
        <w:pStyle w:val="Akapitzlist"/>
        <w:widowControl/>
        <w:suppressAutoHyphens w:val="0"/>
        <w:spacing w:line="276" w:lineRule="auto"/>
        <w:ind w:left="283"/>
        <w:jc w:val="both"/>
        <w:rPr>
          <w:rFonts w:ascii="Arial Black" w:hAnsi="Arial Black"/>
          <w:u w:val="single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>Dokument potwierdzający spełnienie wymogu musi być przedstawiony przez Wykonawcę w fazie odbioru pojazdu.</w:t>
      </w:r>
    </w:p>
    <w:p w:rsidR="008D4A9C" w:rsidRDefault="008D4A9C" w:rsidP="008D4A9C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Dla każdego pojazdu wykonawca dostarczy:</w:t>
      </w:r>
    </w:p>
    <w:p w:rsidR="008D4A9C" w:rsidRDefault="008D4A9C" w:rsidP="008D4A9C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świadectwa zgodności WE,</w:t>
      </w:r>
    </w:p>
    <w:p w:rsidR="008D4A9C" w:rsidRDefault="008D4A9C" w:rsidP="008D4A9C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świadectwo homologacji na urządzenia świetlne sygnalizacji uprzywilejowania,</w:t>
      </w:r>
    </w:p>
    <w:p w:rsidR="008D4A9C" w:rsidRDefault="008D4A9C" w:rsidP="008D4A9C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instrukcję obsługi w języku polskim,</w:t>
      </w:r>
    </w:p>
    <w:p w:rsidR="008D4A9C" w:rsidRDefault="008D4A9C" w:rsidP="008D4A9C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książkę gwarancyjną pojazdu,</w:t>
      </w:r>
    </w:p>
    <w:p w:rsidR="008D4A9C" w:rsidRDefault="008D4A9C" w:rsidP="008D4A9C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książkę przeglądów serwisowych,</w:t>
      </w:r>
    </w:p>
    <w:p w:rsidR="008D4A9C" w:rsidRDefault="008D4A9C" w:rsidP="008D4A9C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wykaz wyposażenia.</w:t>
      </w:r>
    </w:p>
    <w:p w:rsidR="008D4A9C" w:rsidRDefault="008D4A9C" w:rsidP="008D4A9C">
      <w:pPr>
        <w:pStyle w:val="Default"/>
        <w:spacing w:line="276" w:lineRule="auto"/>
        <w:ind w:left="284" w:hanging="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D4A9C" w:rsidRDefault="008D4A9C" w:rsidP="008D4A9C">
      <w:pPr>
        <w:pStyle w:val="Default"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II. WYMAGANIA TECHNICZNE DLA POJAZDU TYPU QUAD</w:t>
      </w:r>
    </w:p>
    <w:p w:rsidR="008D4A9C" w:rsidRDefault="008D4A9C" w:rsidP="008D4A9C">
      <w:pPr>
        <w:pStyle w:val="Default"/>
        <w:spacing w:line="276" w:lineRule="auto"/>
        <w:ind w:left="284" w:hanging="284"/>
        <w:rPr>
          <w:rFonts w:cs="Times New Roman"/>
          <w:b/>
          <w:bCs/>
        </w:rPr>
      </w:pPr>
    </w:p>
    <w:p w:rsidR="008D4A9C" w:rsidRDefault="008D4A9C" w:rsidP="008D4A9C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Pojazd </w:t>
      </w:r>
      <w:r>
        <w:rPr>
          <w:rFonts w:ascii="Times New Roman" w:hAnsi="Times New Roman"/>
          <w:b/>
          <w:bCs/>
          <w:sz w:val="22"/>
          <w:szCs w:val="22"/>
        </w:rPr>
        <w:t>musi spełniać następujące wymagania:</w:t>
      </w:r>
    </w:p>
    <w:p w:rsidR="008D4A9C" w:rsidRDefault="008D4A9C" w:rsidP="008D4A9C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Silnik i układ zasilania:</w:t>
      </w:r>
    </w:p>
    <w:p w:rsidR="008D4A9C" w:rsidRDefault="008D4A9C" w:rsidP="008D4A9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pojemność skokowa silnika minimum 550 cm</w:t>
      </w:r>
      <w:r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>,</w:t>
      </w:r>
    </w:p>
    <w:p w:rsidR="008D4A9C" w:rsidRDefault="008D4A9C" w:rsidP="008D4A9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moc silnika nie mniejsza niż 30 kW,</w:t>
      </w:r>
    </w:p>
    <w:p w:rsidR="008D4A9C" w:rsidRDefault="008D4A9C" w:rsidP="008D4A9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4-suwowy o zapłonie iskrowym,</w:t>
      </w:r>
    </w:p>
    <w:p w:rsidR="008D4A9C" w:rsidRDefault="008D4A9C" w:rsidP="008D4A9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chłodzony cieczą,</w:t>
      </w:r>
    </w:p>
    <w:p w:rsidR="008D4A9C" w:rsidRDefault="008D4A9C" w:rsidP="008D4A9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rozrusznik elektryczny.</w:t>
      </w:r>
    </w:p>
    <w:p w:rsidR="008D4A9C" w:rsidRDefault="008D4A9C" w:rsidP="008D4A9C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Układ hamulcowy: </w:t>
      </w:r>
      <w:r>
        <w:rPr>
          <w:rFonts w:ascii="Times New Roman" w:hAnsi="Times New Roman"/>
          <w:sz w:val="22"/>
          <w:szCs w:val="22"/>
        </w:rPr>
        <w:t>przednie i tylne hamulce tarczowe.</w:t>
      </w:r>
    </w:p>
    <w:p w:rsidR="008D4A9C" w:rsidRDefault="008D4A9C" w:rsidP="008D4A9C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Układ zawieszenia: </w:t>
      </w:r>
      <w:r>
        <w:rPr>
          <w:rFonts w:ascii="Times New Roman" w:hAnsi="Times New Roman"/>
          <w:sz w:val="22"/>
          <w:szCs w:val="22"/>
        </w:rPr>
        <w:t>niezależne zawieszenie kół osi przedniej i tylnej.</w:t>
      </w:r>
    </w:p>
    <w:p w:rsidR="008D4A9C" w:rsidRDefault="008D4A9C" w:rsidP="008D4A9C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Układ kierowniczy: </w:t>
      </w:r>
      <w:r>
        <w:rPr>
          <w:rFonts w:ascii="Times New Roman" w:hAnsi="Times New Roman"/>
          <w:sz w:val="22"/>
          <w:szCs w:val="22"/>
        </w:rPr>
        <w:t>wspomaganie układu kierowniczego.</w:t>
      </w:r>
    </w:p>
    <w:p w:rsidR="008D4A9C" w:rsidRDefault="008D4A9C" w:rsidP="008D4A9C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Przenoszenie napędu:</w:t>
      </w:r>
    </w:p>
    <w:p w:rsidR="008D4A9C" w:rsidRDefault="008D4A9C" w:rsidP="008D4A9C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ind w:left="113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napęd 2WD/4WD,</w:t>
      </w:r>
    </w:p>
    <w:p w:rsidR="008D4A9C" w:rsidRDefault="008D4A9C" w:rsidP="008D4A9C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ind w:left="113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skrzynia biegów automatyczna lub zautomatyzowana z reduktorem z biegiem wstecznym.</w:t>
      </w:r>
    </w:p>
    <w:p w:rsidR="008D4A9C" w:rsidRDefault="008D4A9C" w:rsidP="008D4A9C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Parametry </w:t>
      </w:r>
      <w:proofErr w:type="spellStart"/>
      <w:r>
        <w:rPr>
          <w:rFonts w:ascii="Times New Roman" w:hAnsi="Times New Roman"/>
          <w:b/>
          <w:sz w:val="22"/>
          <w:szCs w:val="22"/>
        </w:rPr>
        <w:t>techniczno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– funkcjonalne:</w:t>
      </w:r>
    </w:p>
    <w:p w:rsidR="008D4A9C" w:rsidRDefault="008D4A9C" w:rsidP="008D4A9C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szerokość pojazdu – nie większa niż 1450 mm,</w:t>
      </w:r>
    </w:p>
    <w:p w:rsidR="008D4A9C" w:rsidRDefault="008D4A9C" w:rsidP="008D4A9C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rozstaw osi – nie mniejszy niż </w:t>
      </w:r>
      <w:r>
        <w:rPr>
          <w:rFonts w:ascii="Times New Roman" w:hAnsi="Times New Roman"/>
          <w:color w:val="auto"/>
          <w:sz w:val="22"/>
          <w:szCs w:val="22"/>
        </w:rPr>
        <w:t>1300 mm,</w:t>
      </w:r>
    </w:p>
    <w:p w:rsidR="008D4A9C" w:rsidRDefault="008D4A9C" w:rsidP="008D4A9C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prześwit nie mniejszy niż 270 mm,</w:t>
      </w:r>
    </w:p>
    <w:p w:rsidR="008D4A9C" w:rsidRDefault="008D4A9C" w:rsidP="008D4A9C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masa pojazdu nie większa niż </w:t>
      </w:r>
      <w:r>
        <w:rPr>
          <w:rFonts w:ascii="Times New Roman" w:hAnsi="Times New Roman"/>
          <w:color w:val="auto"/>
          <w:sz w:val="22"/>
          <w:szCs w:val="22"/>
        </w:rPr>
        <w:t>550 kg,</w:t>
      </w:r>
    </w:p>
    <w:p w:rsidR="008D4A9C" w:rsidRDefault="008D4A9C" w:rsidP="008D4A9C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pojemność zbiornika paliwa minimum 17 litrów,</w:t>
      </w:r>
    </w:p>
    <w:p w:rsidR="008D4A9C" w:rsidRDefault="008D4A9C" w:rsidP="008D4A9C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rama pojazdu wykonana ze stali chromowo-molibdenowej.</w:t>
      </w:r>
    </w:p>
    <w:p w:rsidR="008D4A9C" w:rsidRDefault="008D4A9C" w:rsidP="008D4A9C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Koła:</w:t>
      </w:r>
    </w:p>
    <w:p w:rsidR="008D4A9C" w:rsidRDefault="008D4A9C" w:rsidP="008D4A9C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 ogumieniem o rzeźbie bieżnika i profilu terenowym,</w:t>
      </w:r>
    </w:p>
    <w:p w:rsidR="008D4A9C" w:rsidRDefault="008D4A9C" w:rsidP="008D4A9C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felgi aluminiowe 14 cali,</w:t>
      </w:r>
    </w:p>
    <w:p w:rsidR="008D4A9C" w:rsidRDefault="008D4A9C" w:rsidP="008D4A9C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chwili odbioru pojazdu opony nie mogą być starsze niż 78 tygodni.</w:t>
      </w:r>
    </w:p>
    <w:p w:rsidR="008D4A9C" w:rsidRDefault="008D4A9C" w:rsidP="008D4A9C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Wyposażenie elektryczne i elektroniczne.</w:t>
      </w:r>
    </w:p>
    <w:p w:rsidR="008D4A9C" w:rsidRDefault="008D4A9C" w:rsidP="008D4A9C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napięcie znamionowe instalacji elektrycznej 12V DC („-”na masie),</w:t>
      </w:r>
    </w:p>
    <w:p w:rsidR="008D4A9C" w:rsidRDefault="008D4A9C" w:rsidP="008D4A9C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pobór prądu z akumulatora przez systemy podtrzymania w czasie postoju pojazdu, przy wyłączonych wszystkich odbiornikach, nie może przekraczać 100 </w:t>
      </w:r>
      <w:proofErr w:type="spellStart"/>
      <w:r>
        <w:rPr>
          <w:rFonts w:ascii="Times New Roman" w:hAnsi="Times New Roman"/>
          <w:sz w:val="22"/>
          <w:szCs w:val="22"/>
        </w:rPr>
        <w:t>mA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:rsidR="008D4A9C" w:rsidRDefault="008D4A9C" w:rsidP="008D4A9C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akumulator 12V żelowy lub AGM,</w:t>
      </w:r>
    </w:p>
    <w:p w:rsidR="008D4A9C" w:rsidRDefault="008D4A9C" w:rsidP="008D4A9C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1134" w:hanging="425"/>
        <w:jc w:val="both"/>
        <w:rPr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pojazd musi być wyposażony w wyłącznik główny zasilania (hebel),</w:t>
      </w:r>
    </w:p>
    <w:p w:rsidR="008D4A9C" w:rsidRDefault="008D4A9C" w:rsidP="008D4A9C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1134" w:hanging="425"/>
        <w:jc w:val="both"/>
        <w:rPr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sygnały błyskowo-dźwiękowe (zestaw bez „koguta”) w ilości 6szt. z homologacją. Urządzenia świetlne sygnalizacji uprzywilejowania muszą posiadać świadectwo homologacji na zgodność z Regulaminem 65 EKG ONZ.</w:t>
      </w:r>
      <w:r>
        <w:rPr>
          <w:rFonts w:ascii="Times New Roman" w:hAnsi="Times New Roman"/>
          <w:b/>
          <w:i/>
          <w:sz w:val="22"/>
          <w:szCs w:val="22"/>
          <w:shd w:val="clear" w:color="auto" w:fill="FFFFFF"/>
        </w:rPr>
        <w:t xml:space="preserve"> </w:t>
      </w:r>
    </w:p>
    <w:p w:rsidR="008D4A9C" w:rsidRDefault="008D4A9C" w:rsidP="008D4A9C">
      <w:pPr>
        <w:pStyle w:val="Akapitzlist"/>
        <w:widowControl/>
        <w:suppressAutoHyphens w:val="0"/>
        <w:spacing w:line="276" w:lineRule="auto"/>
        <w:ind w:left="1134"/>
        <w:jc w:val="both"/>
        <w:rPr>
          <w:rFonts w:ascii="Arial Black" w:hAnsi="Arial Black"/>
          <w:u w:val="single"/>
        </w:rPr>
      </w:pPr>
      <w:r>
        <w:rPr>
          <w:rFonts w:ascii="Arial Black" w:hAnsi="Arial Black"/>
          <w:b/>
          <w:sz w:val="22"/>
          <w:szCs w:val="22"/>
          <w:u w:val="single"/>
          <w:shd w:val="clear" w:color="auto" w:fill="FFFFFF"/>
        </w:rPr>
        <w:t>Dokument potwierdzający spełnienie wymogu musi być przedstawiony przez Wykonawcę w fazie odbioru pojazdu.</w:t>
      </w:r>
    </w:p>
    <w:p w:rsidR="008D4A9C" w:rsidRDefault="008D4A9C" w:rsidP="008D4A9C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Kolorystyka i oznakowanie: </w:t>
      </w:r>
    </w:p>
    <w:p w:rsidR="008D4A9C" w:rsidRDefault="008D4A9C" w:rsidP="008D4A9C">
      <w:pPr>
        <w:pStyle w:val="Akapitzlist"/>
        <w:numPr>
          <w:ilvl w:val="0"/>
          <w:numId w:val="9"/>
        </w:numPr>
        <w:spacing w:line="276" w:lineRule="auto"/>
        <w:ind w:left="1134" w:hanging="4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dopuszcza się kolor fabryczny nadwozia: srebrny, niebiesko-granatowy, lub czarny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(błotniki </w:t>
      </w:r>
      <w:r>
        <w:rPr>
          <w:rFonts w:ascii="Times New Roman" w:hAnsi="Times New Roman"/>
          <w:sz w:val="22"/>
          <w:szCs w:val="22"/>
        </w:rPr>
        <w:br/>
        <w:t>i inne drobne elementy mogą być w kolorze czarnym),</w:t>
      </w:r>
    </w:p>
    <w:p w:rsidR="008D4A9C" w:rsidRDefault="008D4A9C" w:rsidP="008D4A9C">
      <w:pPr>
        <w:pStyle w:val="Akapitzlist"/>
        <w:numPr>
          <w:ilvl w:val="0"/>
          <w:numId w:val="9"/>
        </w:numPr>
        <w:spacing w:line="276" w:lineRule="auto"/>
        <w:ind w:left="1134" w:hanging="4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pojazd nie może posiadać znaków i nazw firmowych poza oznaczeniami fabrycznymi.</w:t>
      </w:r>
    </w:p>
    <w:p w:rsidR="008D4A9C" w:rsidRDefault="008D4A9C" w:rsidP="008D4A9C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Wyposażenie dodatkowe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minimum dwa komplety kluczyków do pojazdu,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wskaźnik ilości paliwa, prędkościomierz, licznik km oraz licznik motogodzin, wskaźnik biegów,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podgrzewane manetki, 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kompletna dedykowana osłona z tworzywa PHD spodu pojazdu zabezpieczająca silnik, wahacze oraz mechanizmy napędowe o grubości minimum 2 mm, 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nakładki zderzaków przód i tył oraz boczne orurowanie zabezpieczające,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wyciągarka o parametrach dostosowanych do masy pojazdu zamontowana na płycie montażowej z przodu pojazdu, sterowana elektrycznie przełącznikiem zamontowanym na kierownicy blisko rękojeści, 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fabryczne oświetlenie przednie i tylne LED, 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gaśnica proszkowa typu samochodowego o masie środka gaśniczego 1 kg posiadająca odpowiedni certyfikat CNBOP, zamontowana w łatwo dostępnym miejscu, nienarażona na uszkodzenia mechaniczne oraz nieutrudniająca pracy kierowcy,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apteczka samochodowa, zamontowana w miejscu łatwo dostępnym lub w fabrycznym schowku, nienarażona na uszkodzenia mechaniczne, w opakowaniu zabezpieczającym przed działaniem czynników atmosferycznych, nieutrudniająca pracy kierowcy, w skład której wchodzą, co najmniej:</w:t>
      </w:r>
    </w:p>
    <w:p w:rsidR="008D4A9C" w:rsidRDefault="008D4A9C" w:rsidP="008D4A9C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rękawice lateksowe - 3 pary,</w:t>
      </w:r>
    </w:p>
    <w:p w:rsidR="008D4A9C" w:rsidRDefault="008D4A9C" w:rsidP="008D4A9C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nóż lub nożyce do przecięcia pasów bezpieczeństwa, ubrań - 1 szt.,</w:t>
      </w:r>
    </w:p>
    <w:p w:rsidR="008D4A9C" w:rsidRDefault="008D4A9C" w:rsidP="008D4A9C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opatrunki jałowe 7,5 cm x 7,5 cm - 1 opakowanie (100 szt.),</w:t>
      </w:r>
    </w:p>
    <w:p w:rsidR="008D4A9C" w:rsidRDefault="008D4A9C" w:rsidP="008D4A9C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bandaże dziane 2 m x 10 cm - 5 szt.,</w:t>
      </w:r>
    </w:p>
    <w:p w:rsidR="008D4A9C" w:rsidRDefault="008D4A9C" w:rsidP="008D4A9C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bandaże elastyczne 3 m x 15 cm - 2 szt.,</w:t>
      </w:r>
    </w:p>
    <w:p w:rsidR="008D4A9C" w:rsidRDefault="008D4A9C" w:rsidP="008D4A9C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woda utleniona (100 ml) - 1 flakon,</w:t>
      </w:r>
    </w:p>
    <w:p w:rsidR="008D4A9C" w:rsidRDefault="008D4A9C" w:rsidP="008D4A9C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folia termoizolacyjna - 1 szt.,</w:t>
      </w:r>
    </w:p>
    <w:p w:rsidR="008D4A9C" w:rsidRDefault="008D4A9C" w:rsidP="008D4A9C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opatrunki hydrożelowe - 3 szt.,</w:t>
      </w:r>
    </w:p>
    <w:p w:rsidR="008D4A9C" w:rsidRDefault="008D4A9C" w:rsidP="008D4A9C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rurka ustno-gardłowa - 1 szt.,</w:t>
      </w:r>
    </w:p>
    <w:p w:rsidR="008D4A9C" w:rsidRDefault="008D4A9C" w:rsidP="008D4A9C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preparat dezynfekcyjny - 1 szt.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fabryczny zestaw podręcznych narzędzi,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993" w:hanging="426"/>
        <w:jc w:val="both"/>
        <w:rPr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pokrowiec do zabezpieczenia pojazdu,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993" w:hanging="426"/>
        <w:jc w:val="both"/>
        <w:rPr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trójkąt ostrzegawczy posiadający homologację zgodną z Regulaminem 27 EKG ONZ,</w:t>
      </w:r>
    </w:p>
    <w:p w:rsidR="008D4A9C" w:rsidRDefault="008D4A9C" w:rsidP="008D4A9C">
      <w:pPr>
        <w:pStyle w:val="Akapitzlist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kufer tylny umożliwiający przewożenie ładunku min. 40 kg, wykonany z tworzywa ABS lub innego tworzywa o porównywalnych właściwościach, odpornego na działanie warunków atmosferycznych, w kolorze czarnym, składający się z jednej komory o pojemności minimalnej 80 litrów z zamknięciem na klucz, </w:t>
      </w:r>
    </w:p>
    <w:p w:rsidR="008D4A9C" w:rsidRDefault="008D4A9C" w:rsidP="008D4A9C">
      <w:pPr>
        <w:pStyle w:val="Akapitzlist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hak holowniczy + gniazdo do przyczepy,</w:t>
      </w:r>
    </w:p>
    <w:p w:rsidR="008D4A9C" w:rsidRDefault="008D4A9C" w:rsidP="008D4A9C">
      <w:pPr>
        <w:pStyle w:val="Akapitzlist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kask motocyklowy integralny 2szt., rozmiar L lub XL w kolorze ciemnym,</w:t>
      </w:r>
    </w:p>
    <w:p w:rsidR="008D4A9C" w:rsidRDefault="008D4A9C" w:rsidP="008D4A9C">
      <w:pPr>
        <w:pStyle w:val="Akapitzlist"/>
        <w:spacing w:line="276" w:lineRule="auto"/>
        <w:ind w:left="964"/>
        <w:rPr>
          <w:rFonts w:ascii="Arial Black" w:hAnsi="Arial Black"/>
          <w:u w:val="single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>Wykonawca przedstawi propozycję, co najmniej 3 stonowanych kolorów na etapie podpisywania umowy.</w:t>
      </w:r>
    </w:p>
    <w:p w:rsidR="008D4A9C" w:rsidRDefault="008D4A9C" w:rsidP="008D4A9C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Rok produkcji pojazdu:</w:t>
      </w:r>
      <w:r>
        <w:rPr>
          <w:rFonts w:ascii="Times New Roman" w:hAnsi="Times New Roman"/>
          <w:sz w:val="22"/>
          <w:szCs w:val="22"/>
        </w:rPr>
        <w:t xml:space="preserve"> fabrycznie nowy, rok produkcji zgodny z rokiem dostawy.</w:t>
      </w:r>
    </w:p>
    <w:p w:rsidR="008D4A9C" w:rsidRDefault="008D4A9C" w:rsidP="008D4A9C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8D4A9C" w:rsidRDefault="008D4A9C" w:rsidP="008D4A9C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Warunki gwarancji i serwisu:</w:t>
      </w:r>
    </w:p>
    <w:p w:rsidR="008D4A9C" w:rsidRDefault="008D4A9C" w:rsidP="008D4A9C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Wykonawca w cenie pojazdu uwzględni koszty wykonania trzech kolejnych przeglądów okresowych (koszty części, materiałów eksploatacyjnych i robocizny) przewidzianych do wykonania przez producenta pojazdu w celu zachowania gwarancji. Zakres czynności serwisowych kolejnych przeglądów okresowych musi być zgodny z procedurami jakościowymi, zaleceniami technicznymi oraz specyfikacjami producenta pojazdu.</w:t>
      </w:r>
    </w:p>
    <w:p w:rsidR="008D4A9C" w:rsidRDefault="008D4A9C" w:rsidP="008D4A9C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Pojazd musi być objęty gwarancją bez limitu kilometrów na okres:</w:t>
      </w:r>
    </w:p>
    <w:p w:rsidR="008D4A9C" w:rsidRDefault="008D4A9C" w:rsidP="008D4A9C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  <w:lang w:eastAsia="en-US"/>
        </w:rPr>
        <w:t>min. 24 miesiące</w:t>
      </w:r>
      <w:r>
        <w:rPr>
          <w:rFonts w:ascii="Times New Roman" w:hAnsi="Times New Roman" w:cs="Arial"/>
          <w:sz w:val="22"/>
          <w:szCs w:val="22"/>
          <w:lang w:eastAsia="en-US"/>
        </w:rPr>
        <w:tab/>
        <w:t>– gwarancja na zespoły i podzespoły mechaniczne, elektryczne i elektroniczne pojazdu,</w:t>
      </w:r>
    </w:p>
    <w:p w:rsidR="008D4A9C" w:rsidRDefault="008D4A9C" w:rsidP="008D4A9C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min. 24 miesiące</w:t>
      </w:r>
      <w:r>
        <w:rPr>
          <w:rFonts w:ascii="Times New Roman" w:hAnsi="Times New Roman" w:cs="Arial"/>
          <w:sz w:val="22"/>
          <w:szCs w:val="22"/>
        </w:rPr>
        <w:tab/>
        <w:t>– gwarancja na całość zabudowy, w tym na sygnalizację uprzywilejowania w ruchu,</w:t>
      </w:r>
    </w:p>
    <w:p w:rsidR="008D4A9C" w:rsidRDefault="008D4A9C" w:rsidP="008D4A9C">
      <w:pPr>
        <w:pStyle w:val="Akapitzlist"/>
        <w:widowControl/>
        <w:suppressAutoHyphens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licząc od daty odbioru pojazdu przez Zamawiającego.</w:t>
      </w:r>
    </w:p>
    <w:p w:rsidR="008D4A9C" w:rsidRDefault="008D4A9C" w:rsidP="008D4A9C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Przeglądy okresowe, naprawy gwarancyjne oraz naprawy bieżące w okresie gwarancji, będą wykonywane w autoryzowanym serwisie lub zapleczu technicznym Zamawiającego.</w:t>
      </w:r>
    </w:p>
    <w:p w:rsidR="008D4A9C" w:rsidRDefault="008D4A9C" w:rsidP="008D4A9C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Usuwanie w Stacjach Obsługi Zamawiającego drobnych usterek i uzupełniania materiałów eksploatacyjnych nie mogą powodować utraty ani ograniczenia uprawnień wynikających z fabrycznej gwarancji.</w:t>
      </w:r>
    </w:p>
    <w:p w:rsidR="008D4A9C" w:rsidRDefault="008D4A9C" w:rsidP="008D4A9C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Warunki gwarancji muszą być odnotowane w książce gwarancyjnej pojazdu.</w:t>
      </w:r>
    </w:p>
    <w:p w:rsidR="009D374D" w:rsidRDefault="009D374D"/>
    <w:sectPr w:rsidR="009D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513"/>
    <w:multiLevelType w:val="multilevel"/>
    <w:tmpl w:val="C31E0C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172DA5"/>
    <w:multiLevelType w:val="multilevel"/>
    <w:tmpl w:val="89CA6FBE"/>
    <w:lvl w:ilvl="0">
      <w:start w:val="6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A3273F"/>
    <w:multiLevelType w:val="multilevel"/>
    <w:tmpl w:val="96D2813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5B12C4C"/>
    <w:multiLevelType w:val="multilevel"/>
    <w:tmpl w:val="2C96D77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DD86119"/>
    <w:multiLevelType w:val="multilevel"/>
    <w:tmpl w:val="7E4C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FE94067"/>
    <w:multiLevelType w:val="multilevel"/>
    <w:tmpl w:val="F72E386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32830228"/>
    <w:multiLevelType w:val="multilevel"/>
    <w:tmpl w:val="F3E2D60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" w15:restartNumberingAfterBreak="0">
    <w:nsid w:val="3DB51030"/>
    <w:multiLevelType w:val="multilevel"/>
    <w:tmpl w:val="883CC7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78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6E32F56"/>
    <w:multiLevelType w:val="multilevel"/>
    <w:tmpl w:val="52CA9AB6"/>
    <w:lvl w:ilvl="0">
      <w:start w:val="10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D892061"/>
    <w:multiLevelType w:val="multilevel"/>
    <w:tmpl w:val="E550E190"/>
    <w:lvl w:ilvl="0">
      <w:start w:val="1"/>
      <w:numFmt w:val="bullet"/>
      <w:lvlText w:val=""/>
      <w:lvlJc w:val="left"/>
      <w:pPr>
        <w:tabs>
          <w:tab w:val="num" w:pos="0"/>
        </w:tabs>
        <w:ind w:left="23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0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2D295D"/>
    <w:multiLevelType w:val="multilevel"/>
    <w:tmpl w:val="22D6B33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4590662"/>
    <w:multiLevelType w:val="multilevel"/>
    <w:tmpl w:val="1C649E38"/>
    <w:lvl w:ilvl="0">
      <w:start w:val="1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7ED1641"/>
    <w:multiLevelType w:val="multilevel"/>
    <w:tmpl w:val="F0FC85CC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3" w15:restartNumberingAfterBreak="0">
    <w:nsid w:val="799058BC"/>
    <w:multiLevelType w:val="multilevel"/>
    <w:tmpl w:val="EB826F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78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9A44F7A"/>
    <w:multiLevelType w:val="multilevel"/>
    <w:tmpl w:val="9C62F5C0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B6771F3"/>
    <w:multiLevelType w:val="multilevel"/>
    <w:tmpl w:val="70B2CB3E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6" w15:restartNumberingAfterBreak="0">
    <w:nsid w:val="7B9131C9"/>
    <w:multiLevelType w:val="multilevel"/>
    <w:tmpl w:val="6810CC36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9"/>
  </w:num>
  <w:num w:numId="6">
    <w:abstractNumId w:val="0"/>
  </w:num>
  <w:num w:numId="7">
    <w:abstractNumId w:val="15"/>
  </w:num>
  <w:num w:numId="8">
    <w:abstractNumId w:val="10"/>
  </w:num>
  <w:num w:numId="9">
    <w:abstractNumId w:val="3"/>
  </w:num>
  <w:num w:numId="10">
    <w:abstractNumId w:val="13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7D"/>
    <w:rsid w:val="00702C7D"/>
    <w:rsid w:val="008D4A9C"/>
    <w:rsid w:val="009D374D"/>
    <w:rsid w:val="00C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F9D6"/>
  <w15:chartTrackingRefBased/>
  <w15:docId w15:val="{98B4576F-C5FD-4AC2-A722-2BC6EF26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A9C"/>
    <w:pPr>
      <w:widowControl w:val="0"/>
      <w:suppressAutoHyphens/>
      <w:spacing w:after="0" w:line="240" w:lineRule="auto"/>
      <w:ind w:left="720"/>
      <w:contextualSpacing/>
    </w:pPr>
    <w:rPr>
      <w:rFonts w:ascii="DejaVu Sans" w:eastAsia="Calibri" w:hAnsi="DejaVu Sans" w:cs="DejaVu Sans"/>
      <w:color w:val="000000"/>
      <w:sz w:val="24"/>
      <w:szCs w:val="24"/>
      <w:lang w:eastAsia="pl-PL"/>
    </w:rPr>
  </w:style>
  <w:style w:type="paragraph" w:customStyle="1" w:styleId="FR1">
    <w:name w:val="FR1"/>
    <w:qFormat/>
    <w:rsid w:val="008D4A9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qFormat/>
    <w:rsid w:val="008D4A9C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2022-11-16T12:29:00Z</dcterms:created>
  <dcterms:modified xsi:type="dcterms:W3CDTF">2022-11-16T12:33:00Z</dcterms:modified>
</cp:coreProperties>
</file>