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74" w:rsidRPr="00C45474" w:rsidRDefault="00C45474" w:rsidP="00C4547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4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4.1 do SIWZ</w:t>
      </w:r>
    </w:p>
    <w:p w:rsidR="00C45474" w:rsidRPr="00C45474" w:rsidRDefault="00C45474" w:rsidP="00C4547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4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4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4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C454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>Część nr 1:  dzierżawa łączy telekomunikacyjnych Ethernet L2 – 52 łącza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ind w:left="72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>Opis przedmiotu zamówienia.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uppressAutoHyphens/>
        <w:spacing w:before="2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>1. Przedmiotem zamówienia jest dzierżawa łączy telekomunikacyjnych Ethernet L2 typu A-wielopunkt i B-punkt zakończonych routerem brzegowym, przełącznikiem/przełącznikami sieciowymi i modułem zasilania gwarantowanego UPS od Operatora/Wykonawcy przez Komendę Wojewódzką Policji w Łodzi. Łącza mogą być wykonane w technologii światłowodowej, miedzianej lub radiowej. Łącza będą pracować w systemie OST112 zbudowanym w oparciu o urządzenia Cisco.</w:t>
      </w:r>
    </w:p>
    <w:p w:rsidR="00C45474" w:rsidRPr="00C45474" w:rsidRDefault="00C45474" w:rsidP="00C45474">
      <w:pPr>
        <w:spacing w:before="20" w:after="0" w:line="264" w:lineRule="auto"/>
        <w:ind w:left="284" w:right="44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2. Wymienione w Tabeli nr 1 do SIWZ łącza  mają stanowić sieć transmisyjną warstwy L2 modelu ISO/OSI zbudowaną w oparciu o urządzenia Wykonawcy.</w:t>
      </w:r>
    </w:p>
    <w:p w:rsidR="00C45474" w:rsidRPr="00C45474" w:rsidRDefault="00C45474" w:rsidP="00C45474">
      <w:pPr>
        <w:tabs>
          <w:tab w:val="left" w:pos="0"/>
        </w:tabs>
        <w:spacing w:before="20" w:after="0" w:line="15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3.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Wymagania dla łączy i urządzeń:</w:t>
      </w:r>
    </w:p>
    <w:p w:rsidR="00C45474" w:rsidRPr="00C45474" w:rsidRDefault="00C45474" w:rsidP="00C45474">
      <w:pPr>
        <w:spacing w:before="20" w:after="0" w:line="0" w:lineRule="atLeast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łacza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 symetryczne typu wielopunkt z gwarancją przepływności CIR o przepustowości nie mniejszej niż suma przepustowości agregowanych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łaczy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, zakończone w technologii 1000baseLX/LH(1310nm SM Duplex)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Trunk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 802.1Q,</w:t>
      </w: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>- łącza symetryczne typu punkt z gwarancja przepływności CIR 4Mbit/s, 10Mbit/s, zgodnie z Załącznikiem nr 2, zakończone dostarczonymi urządzeniami zgodnie z Załącznikiem nr 2.</w:t>
      </w: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>- łącze ma spełniać standardy IEEE802.3,</w:t>
      </w:r>
    </w:p>
    <w:p w:rsidR="00C45474" w:rsidRPr="00C45474" w:rsidRDefault="00C45474" w:rsidP="00C45474">
      <w:pPr>
        <w:tabs>
          <w:tab w:val="left" w:pos="0"/>
        </w:tabs>
        <w:spacing w:before="20" w:after="0" w:line="48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widowControl w:val="0"/>
        <w:numPr>
          <w:ilvl w:val="1"/>
          <w:numId w:val="2"/>
        </w:numPr>
        <w:suppressAutoHyphens/>
        <w:spacing w:before="20" w:after="0" w:line="264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pomiędzy każdą z jednostek a KWP/KMP zostanie utworzony w sieci operatora tunel 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QinQ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 (IEEE 802.1ad),</w:t>
      </w:r>
    </w:p>
    <w:p w:rsidR="00C45474" w:rsidRPr="00C45474" w:rsidRDefault="00C45474" w:rsidP="00C45474">
      <w:pPr>
        <w:tabs>
          <w:tab w:val="left" w:pos="0"/>
        </w:tabs>
        <w:spacing w:before="20" w:after="0" w:line="2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- dla każdego łącza zostanie przydzielony osobny nr tunelu (VLAN-u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QinQ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>)– w każdym tunelu będą przenoszone lokalne VLAN-y Zamawiającego,</w:t>
      </w:r>
    </w:p>
    <w:p w:rsidR="00C45474" w:rsidRPr="00C45474" w:rsidRDefault="00C45474" w:rsidP="00C45474">
      <w:pPr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Wykonawca zagreguje wszystkie łącza w relacji/relacjach (topologia sieci punkt-wielopunkt), zgodnie z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załacznikiem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 nr 2 do OPZ, na swoich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urządzeniach brzegowych,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 xml:space="preserve">- agregacja łączy zostanie wykonana przy użyciu technologii </w:t>
      </w:r>
      <w:proofErr w:type="spellStart"/>
      <w:r w:rsidRPr="00C45474">
        <w:rPr>
          <w:rFonts w:ascii="Arial" w:eastAsia="Times New Roman" w:hAnsi="Arial" w:cs="Arial"/>
          <w:sz w:val="20"/>
          <w:szCs w:val="20"/>
        </w:rPr>
        <w:t>QinQ</w:t>
      </w:r>
      <w:proofErr w:type="spellEnd"/>
      <w:r w:rsidRPr="00C45474">
        <w:rPr>
          <w:rFonts w:ascii="Arial" w:eastAsia="Times New Roman" w:hAnsi="Arial" w:cs="Arial"/>
          <w:sz w:val="20"/>
          <w:szCs w:val="20"/>
        </w:rPr>
        <w:t>,</w:t>
      </w: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>-</w:t>
      </w:r>
      <w:r w:rsidRPr="00C45474">
        <w:rPr>
          <w:rFonts w:ascii="Arial" w:eastAsia="Times New Roman" w:hAnsi="Arial" w:cs="Arial"/>
          <w:sz w:val="20"/>
          <w:szCs w:val="20"/>
        </w:rPr>
        <w:tab/>
        <w:t xml:space="preserve">w relacji A etykiety VLAN-ów </w:t>
      </w:r>
      <w:proofErr w:type="spellStart"/>
      <w:r w:rsidRPr="00C45474">
        <w:rPr>
          <w:rFonts w:ascii="Arial" w:eastAsia="Times New Roman" w:hAnsi="Arial" w:cs="Arial"/>
          <w:sz w:val="20"/>
          <w:szCs w:val="20"/>
        </w:rPr>
        <w:t>QinQ</w:t>
      </w:r>
      <w:proofErr w:type="spellEnd"/>
      <w:r w:rsidRPr="00C45474">
        <w:rPr>
          <w:rFonts w:ascii="Arial" w:eastAsia="Times New Roman" w:hAnsi="Arial" w:cs="Arial"/>
          <w:sz w:val="20"/>
          <w:szCs w:val="20"/>
        </w:rPr>
        <w:t xml:space="preserve"> będą nakładane i zdejmowane przez urządzenie Zamawiającego,</w:t>
      </w: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 xml:space="preserve">- dla relacji B etykiety VLAN-ów </w:t>
      </w:r>
      <w:proofErr w:type="spellStart"/>
      <w:r w:rsidRPr="00C45474">
        <w:rPr>
          <w:rFonts w:ascii="Arial" w:eastAsia="Times New Roman" w:hAnsi="Arial" w:cs="Arial"/>
          <w:sz w:val="20"/>
          <w:szCs w:val="20"/>
        </w:rPr>
        <w:t>QinQ</w:t>
      </w:r>
      <w:proofErr w:type="spellEnd"/>
      <w:r w:rsidRPr="00C45474">
        <w:rPr>
          <w:rFonts w:ascii="Arial" w:eastAsia="Times New Roman" w:hAnsi="Arial" w:cs="Arial"/>
          <w:sz w:val="20"/>
          <w:szCs w:val="20"/>
        </w:rPr>
        <w:t xml:space="preserve"> będą nakładane i zdejmowane przez urządzenie brzegowe Wykonawcy(zarządzane przez Wykonawcę),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 xml:space="preserve">- numery VLAN tuneli </w:t>
      </w:r>
      <w:proofErr w:type="spellStart"/>
      <w:r w:rsidRPr="00C45474">
        <w:rPr>
          <w:rFonts w:ascii="Arial" w:eastAsia="Times New Roman" w:hAnsi="Arial" w:cs="Arial"/>
          <w:sz w:val="20"/>
          <w:szCs w:val="20"/>
        </w:rPr>
        <w:t>QinQ</w:t>
      </w:r>
      <w:proofErr w:type="spellEnd"/>
      <w:r w:rsidRPr="00C45474">
        <w:rPr>
          <w:rFonts w:ascii="Arial" w:eastAsia="Times New Roman" w:hAnsi="Arial" w:cs="Arial"/>
          <w:sz w:val="20"/>
          <w:szCs w:val="20"/>
        </w:rPr>
        <w:t xml:space="preserve"> muszą być uzgodnione z Zamawiającym,</w:t>
      </w: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 xml:space="preserve">- łącza muszą przenosić przeźroczyście ramki Ethernet o MTU minimum 1522 bajty i VLAN-y 802.1Q o dowolnej numeracji , powinny obsługiwać ruch typu broadcast, </w:t>
      </w:r>
      <w:proofErr w:type="spellStart"/>
      <w:r w:rsidRPr="00C45474">
        <w:rPr>
          <w:rFonts w:ascii="Arial" w:eastAsia="Times New Roman" w:hAnsi="Arial" w:cs="Arial"/>
          <w:sz w:val="20"/>
          <w:szCs w:val="20"/>
        </w:rPr>
        <w:t>unicast</w:t>
      </w:r>
      <w:proofErr w:type="spellEnd"/>
      <w:r w:rsidRPr="00C45474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45474">
        <w:rPr>
          <w:rFonts w:ascii="Arial" w:eastAsia="Times New Roman" w:hAnsi="Arial" w:cs="Arial"/>
          <w:sz w:val="20"/>
          <w:szCs w:val="20"/>
        </w:rPr>
        <w:t>multicast</w:t>
      </w:r>
      <w:proofErr w:type="spellEnd"/>
      <w:r w:rsidRPr="00C45474">
        <w:rPr>
          <w:rFonts w:ascii="Arial" w:eastAsia="Times New Roman" w:hAnsi="Arial" w:cs="Arial"/>
          <w:sz w:val="20"/>
          <w:szCs w:val="20"/>
        </w:rPr>
        <w:t>,</w:t>
      </w:r>
    </w:p>
    <w:p w:rsidR="00C45474" w:rsidRPr="00C45474" w:rsidRDefault="00C45474" w:rsidP="00C45474">
      <w:pPr>
        <w:tabs>
          <w:tab w:val="left" w:pos="0"/>
        </w:tabs>
        <w:spacing w:before="20" w:after="0" w:line="1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widowControl w:val="0"/>
        <w:numPr>
          <w:ilvl w:val="1"/>
          <w:numId w:val="2"/>
        </w:numPr>
        <w:suppressAutoHyphens/>
        <w:spacing w:before="20" w:after="0" w:line="265" w:lineRule="auto"/>
        <w:ind w:right="4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wszystkie łącza zostaną zagregowane na urządzeniach operatora,</w:t>
      </w:r>
    </w:p>
    <w:p w:rsidR="00C45474" w:rsidRPr="00C45474" w:rsidRDefault="00C45474" w:rsidP="00C45474">
      <w:pPr>
        <w:tabs>
          <w:tab w:val="left" w:pos="0"/>
        </w:tabs>
        <w:spacing w:before="20" w:after="0" w:line="2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>- Zamawiający wymaga aby łącza były zagregowane na 2 urządzeniach brzegowych operatora i --doprowadzone dwoma oddzielnymi łączami agregowanymi - łącze podstawowe i łącze zapasowe.</w:t>
      </w:r>
    </w:p>
    <w:p w:rsidR="00C45474" w:rsidRPr="00C45474" w:rsidRDefault="00C45474" w:rsidP="00C45474">
      <w:pPr>
        <w:tabs>
          <w:tab w:val="left" w:pos="0"/>
        </w:tabs>
        <w:spacing w:before="20" w:after="0" w:line="48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widowControl w:val="0"/>
        <w:numPr>
          <w:ilvl w:val="1"/>
          <w:numId w:val="2"/>
        </w:numPr>
        <w:suppressAutoHyphens/>
        <w:spacing w:before="20" w:after="0" w:line="273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w ramach realizacji usługi dzierżawy łączy L2 Wykonawca zainstaluje w każdej lokalizacji B urządzenia aktywne – router o podanych parametrach lub urządzenie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rownoważne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, router musi obsługiwać technologię szyfrowania Cisco GET VPN i Virtual Routing and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Forwarding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 (VRF) ,</w:t>
      </w:r>
    </w:p>
    <w:p w:rsidR="00C45474" w:rsidRPr="00C45474" w:rsidRDefault="00C45474" w:rsidP="00C45474">
      <w:pPr>
        <w:tabs>
          <w:tab w:val="left" w:pos="0"/>
        </w:tabs>
        <w:spacing w:before="20" w:after="0" w:line="15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widowControl w:val="0"/>
        <w:numPr>
          <w:ilvl w:val="1"/>
          <w:numId w:val="2"/>
        </w:numPr>
        <w:suppressAutoHyphens/>
        <w:spacing w:before="20" w:after="0" w:line="271" w:lineRule="auto"/>
        <w:ind w:right="4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w ramach realizacji usługi dzierżawy łączy L2 Wykonawca dodatkowo zainstaluje w każdej lokalizacji B przełącznik sieciowy o podanych poniżej parametrach lub urządzenie równoważne,</w:t>
      </w:r>
    </w:p>
    <w:p w:rsidR="00C45474" w:rsidRPr="00C45474" w:rsidRDefault="00C45474" w:rsidP="00C45474">
      <w:pPr>
        <w:tabs>
          <w:tab w:val="left" w:pos="0"/>
        </w:tabs>
        <w:spacing w:before="20" w:after="0" w:line="17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widowControl w:val="0"/>
        <w:numPr>
          <w:ilvl w:val="1"/>
          <w:numId w:val="2"/>
        </w:numPr>
        <w:suppressAutoHyphens/>
        <w:spacing w:before="20" w:after="0" w:line="274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instalacja, wstępna konfiguracja oraz konserwacja urządzeń należy do Wykonawcy, wstępna konfiguracja urządzeń musi zapewnić dostępność do wszystkich funkcjonalności urządzenia, Wykonawca po wstępnym skonfigurowaniu urządzeń zapewni pełny dostęp administracyjny dla Zamawiającego; przełącznik sieciowy umożliwiający zintegrowany dostęp do usług sieciowych, na poziomie przełączników dostępowych (klienckich); dostarczone urządzenia sieciowe muszą w pełni współpracować z istniejącą obecnie infrastrukturą sieciową Zamawiającego, szczególnie pod względem zapewnienia pełnej zgodności obsługi działających obecnie protokołów i usług,</w:t>
      </w:r>
    </w:p>
    <w:p w:rsidR="00C45474" w:rsidRPr="00C45474" w:rsidRDefault="00C45474" w:rsidP="00C45474">
      <w:pPr>
        <w:suppressAutoHyphens/>
        <w:spacing w:before="20"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>- dostarczony sprzęt będzie zarządzany przez Zamawiającego (Operatora sieci OST112).</w:t>
      </w:r>
    </w:p>
    <w:p w:rsidR="00C45474" w:rsidRPr="00C45474" w:rsidRDefault="00C45474" w:rsidP="00C45474">
      <w:pPr>
        <w:suppressAutoHyphens/>
        <w:spacing w:before="2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Times New Roman" w:hAnsi="Arial" w:cs="Arial"/>
          <w:sz w:val="20"/>
          <w:szCs w:val="20"/>
        </w:rPr>
        <w:t>4.</w:t>
      </w:r>
      <w:r w:rsidRPr="00C45474">
        <w:rPr>
          <w:rFonts w:ascii="Arial" w:eastAsia="Times New Roman" w:hAnsi="Arial" w:cs="Arial"/>
          <w:sz w:val="20"/>
          <w:szCs w:val="20"/>
        </w:rPr>
        <w:tab/>
        <w:t>Do wskazanych lokalizacji w Załączniku nr 1 Wykonawca dostarczy zasilacze awaryjne UPS o podanych poniżej parametrach.</w:t>
      </w:r>
    </w:p>
    <w:p w:rsidR="00C45474" w:rsidRPr="00C45474" w:rsidRDefault="00C45474" w:rsidP="00C45474">
      <w:pPr>
        <w:tabs>
          <w:tab w:val="left" w:pos="0"/>
        </w:tabs>
        <w:spacing w:before="20" w:after="0" w:line="5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widowControl w:val="0"/>
        <w:suppressAutoHyphens/>
        <w:spacing w:before="20" w:after="0" w:line="27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5.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W celu weryfikacji i prowadzenia statystyk działania łączy (Załącznik nr 1) Wykonawca/Operator udostępni dostęp na platformie webowej do aplikacji zbierającej informacje o stanie i historii działania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łącza, dostępności usług, weryfikacji prędkości łącza.</w:t>
      </w:r>
    </w:p>
    <w:p w:rsidR="00C45474" w:rsidRPr="00C45474" w:rsidRDefault="00C45474" w:rsidP="00C45474">
      <w:pPr>
        <w:spacing w:before="20" w:after="0" w:line="236" w:lineRule="auto"/>
        <w:ind w:left="284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6. W lokalizacji KWP Łódź ul. Sienkiewicza 28/30, wraz z łączem agregowanym Wykonawca zapewni łącze symetryczne ze stałym i nielimitowanym dostępem do sieci Internet o przepustowości CIR 100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Mbit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>/s. Łącze zakończone w standardzie Ethernet 1000BaseT.</w:t>
      </w:r>
    </w:p>
    <w:p w:rsidR="00C45474" w:rsidRPr="00C45474" w:rsidRDefault="00C45474" w:rsidP="00C45474">
      <w:pPr>
        <w:tabs>
          <w:tab w:val="left" w:pos="0"/>
        </w:tabs>
        <w:spacing w:before="20" w:after="0" w:line="26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6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bCs/>
          <w:sz w:val="20"/>
          <w:szCs w:val="20"/>
          <w:lang w:eastAsia="pl-PL"/>
        </w:rPr>
        <w:t>Warunki uruchomienia i serwisu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>Zamawiający wymaga uruchomienia łączy  Ethernet L2 10Mb/s do 20.05.2019 roku i uruchomienie usług od 1.06.2019 r. Wykaz łączy zawiera Tabela nr 1.</w:t>
      </w:r>
      <w:r w:rsidRPr="00C45474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 xml:space="preserve">Zamawiający dopuszcza uruchomienie łączy Ethernet 10Mb/s w terminie  późniejszym niż 20.05.2019 r. wówczas  Zamawiający  wymaga uruchomienia w tej relacji łącza tymczasowego w aktualnie eksploatowanym przez Zamawiającego standardzie E1 i świadczenie usług od 1.06.2019 r. do czasu uruchomienia łącza Ethernet L2 w danej relacji ale nie później niż do 1.02.2020 r. Dotyczy to także 2 (dwóch) łączy 4Mb/s w lokalizacji Kobiele Wielkie i Lgota Wielka. Wykaz aktualnie eksploatowanych łączy E1 wraz z relacjami zawiera Tabela nr 2. Ostateczny termin uruchomienia wszystkich łączy Ethernet L2 to 20.01.2020 r. i świadczenie usług od 1.02.2020 r. </w:t>
      </w:r>
      <w:r w:rsidRPr="00C45474">
        <w:rPr>
          <w:rFonts w:ascii="Arial" w:eastAsia="Calibri" w:hAnsi="Arial" w:cs="Arial"/>
          <w:b/>
          <w:i/>
          <w:sz w:val="20"/>
          <w:szCs w:val="20"/>
        </w:rPr>
        <w:t>W przypadku uruchomienia łącza tymczasowego opłata za to łącze nie może być większa niż 50% opłaty za łącze docelowe Ethernet L2. Czas eksploatacji łącza tymczasowego Wykonawca podaje w ofercie i nie może być dłuższy niż do 1.02.2020 r. (termin ostateczny). Zamawiający dopuszcza skrócenie czasu świadczenia usługi na łączu tymczasowym bez zmiany wynagrodzenia.</w:t>
      </w:r>
    </w:p>
    <w:p w:rsidR="00C45474" w:rsidRPr="00C45474" w:rsidRDefault="00C45474" w:rsidP="00C45474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Dla łączy 4Mb/s czas uruchomienia to 20.01.2020r. Ostateczny termin uruchomienia usługi to 1.02.2020 r. </w:t>
      </w: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Dla łącza o relacji Łódź, ul. Sienkiewicza 28/30 – Łódź, ul. Norwida 18  czas uruchomienia do 20.01.2020, czas uruchomienia usługi 1.02.2020 r. </w:t>
      </w: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W przypadku opóźnienia Wykonawca zapłaci Zamawiającemu karę w wysokości 20 % opłaty miesięcznej dla łącza którego dotyczy opóźnienie, za każdą rozpoczętą dobę opóźnienia. </w:t>
      </w: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>W przypadku opóźnień w usuwaniu uszkodzeń Wykonawca zapłaci Zamawiającemu karę w wysokości 10 % opłaty miesięcznej za każdą rozpoczętą dobę opóźnienia  w usuwaniu uszkodzeń za łącze którego dotyczy uszkodzenie.</w:t>
      </w: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>W przypadku opóźnienia w usuwaniu awarii krytycznej Wykonawca zapłaci Zamawiającemu 0,2% łącznej opłaty miesięcznej wynikającej z umowy za każdą rozpoczętą godzinę opóźnienia.</w:t>
      </w:r>
    </w:p>
    <w:p w:rsidR="00C45474" w:rsidRPr="00C45474" w:rsidRDefault="00C45474" w:rsidP="00C45474">
      <w:pPr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</w:rPr>
        <w:t>Czas usunięcia uszkodzenia liczony jest od momentu zgłoszenia awarii do momentu zgłoszenia  przez Wykonawcę sprawności łącza potwierdzonego przez Zamawiającego. Łącze uznaje się za niedostępne/uszkodzone, jeżeli nie spełnia co najmniej jednego warunku:</w:t>
      </w:r>
    </w:p>
    <w:p w:rsidR="00C45474" w:rsidRPr="00C45474" w:rsidRDefault="00C45474" w:rsidP="00C45474">
      <w:pPr>
        <w:suppressAutoHyphens/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>9.1. Ping pomiędzy interfejsem WAN routera strony A, a interfejsem WAN routera strony B jest&lt;40ms,</w:t>
      </w:r>
    </w:p>
    <w:p w:rsidR="00C45474" w:rsidRPr="00C45474" w:rsidRDefault="00C45474" w:rsidP="00C45474">
      <w:pPr>
        <w:suppressAutoHyphens/>
        <w:spacing w:before="20"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 xml:space="preserve">9.2  </w:t>
      </w:r>
      <w:proofErr w:type="spellStart"/>
      <w:r w:rsidRPr="00C45474">
        <w:rPr>
          <w:rFonts w:ascii="Arial" w:eastAsia="Calibri" w:hAnsi="Arial" w:cs="Arial"/>
          <w:sz w:val="20"/>
          <w:szCs w:val="20"/>
        </w:rPr>
        <w:t>Jitter</w:t>
      </w:r>
      <w:proofErr w:type="spellEnd"/>
      <w:r w:rsidRPr="00C45474">
        <w:rPr>
          <w:rFonts w:ascii="Arial" w:eastAsia="Calibri" w:hAnsi="Arial" w:cs="Arial"/>
          <w:sz w:val="20"/>
          <w:szCs w:val="20"/>
        </w:rPr>
        <w:t xml:space="preserve"> pakietów mierzony jw. &lt;30ms,</w:t>
      </w:r>
    </w:p>
    <w:p w:rsidR="00C45474" w:rsidRPr="00C45474" w:rsidRDefault="00C45474" w:rsidP="00C45474">
      <w:pPr>
        <w:suppressAutoHyphens/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 xml:space="preserve">9.3 </w:t>
      </w:r>
      <w:r w:rsidRPr="00C45474">
        <w:rPr>
          <w:rFonts w:ascii="Arial" w:eastAsia="Calibri" w:hAnsi="Arial" w:cs="Arial"/>
          <w:sz w:val="20"/>
          <w:szCs w:val="20"/>
        </w:rPr>
        <w:tab/>
        <w:t>Utrata pakietów pomiędzy interfejsami WAN strony A i B &lt;0,1%,</w:t>
      </w:r>
    </w:p>
    <w:p w:rsidR="00C45474" w:rsidRPr="00C45474" w:rsidRDefault="00C45474" w:rsidP="00C45474">
      <w:pPr>
        <w:suppressAutoHyphens/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C45474">
        <w:rPr>
          <w:rFonts w:ascii="Arial" w:eastAsia="Calibri" w:hAnsi="Arial" w:cs="Arial"/>
          <w:sz w:val="20"/>
          <w:szCs w:val="20"/>
        </w:rPr>
        <w:t xml:space="preserve">9.4  </w:t>
      </w:r>
      <w:r w:rsidRPr="00C45474">
        <w:rPr>
          <w:rFonts w:ascii="Arial" w:eastAsia="Calibri" w:hAnsi="Arial" w:cs="Arial"/>
          <w:sz w:val="20"/>
          <w:szCs w:val="20"/>
        </w:rPr>
        <w:tab/>
        <w:t xml:space="preserve">Przepływność łącza niższa niż wskazana w załączniku nr 2. 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10. 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  <w:t>Awarie routerów dostępowych/</w:t>
      </w:r>
      <w:proofErr w:type="spellStart"/>
      <w:r w:rsidRPr="00C45474">
        <w:rPr>
          <w:rFonts w:ascii="Arial" w:eastAsia="Calibri" w:hAnsi="Arial" w:cs="Arial"/>
          <w:sz w:val="20"/>
          <w:szCs w:val="20"/>
          <w:lang w:eastAsia="pl-PL"/>
        </w:rPr>
        <w:t>switchy</w:t>
      </w:r>
      <w:proofErr w:type="spellEnd"/>
      <w:r w:rsidRPr="00C45474">
        <w:rPr>
          <w:rFonts w:ascii="Arial" w:eastAsia="Calibri" w:hAnsi="Arial" w:cs="Arial"/>
          <w:sz w:val="20"/>
          <w:szCs w:val="20"/>
          <w:lang w:eastAsia="pl-PL"/>
        </w:rPr>
        <w:t>/UPS-ów traktowane są jak awarie łącza i stosuje się do nich zapisy Umowy.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11. 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  <w:t>W czasie trwania Umowy wykonawca zobowiązany jest zapewnić sprawność dostarczonego sprzętu poprzez objęcie go serwisem. Zamawiający dopuszcza usuwanie uszkodzeń sprzętu przez serwis Wykonawcy  ( np. poprzez wymianę routera/</w:t>
      </w:r>
      <w:proofErr w:type="spellStart"/>
      <w:r w:rsidRPr="00C45474">
        <w:rPr>
          <w:rFonts w:ascii="Arial" w:eastAsia="Calibri" w:hAnsi="Arial" w:cs="Arial"/>
          <w:sz w:val="20"/>
          <w:szCs w:val="20"/>
          <w:lang w:eastAsia="pl-PL"/>
        </w:rPr>
        <w:t>switcha</w:t>
      </w:r>
      <w:proofErr w:type="spellEnd"/>
      <w:r w:rsidRPr="00C45474">
        <w:rPr>
          <w:rFonts w:ascii="Arial" w:eastAsia="Calibri" w:hAnsi="Arial" w:cs="Arial"/>
          <w:sz w:val="20"/>
          <w:szCs w:val="20"/>
          <w:lang w:eastAsia="pl-PL"/>
        </w:rPr>
        <w:t>/UPS-a na inny wolny od wad).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12. 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  <w:t>Gwarancja na dostarczony sprzęt obejmuje cały okres świadczenia usługi.</w:t>
      </w:r>
    </w:p>
    <w:p w:rsidR="00C45474" w:rsidRPr="00C45474" w:rsidRDefault="00C45474" w:rsidP="00C45474">
      <w:pPr>
        <w:spacing w:before="20" w:after="0" w:line="23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13. 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>Wymagania dla realizacji usług za pomocą łączy w technologii radiowej:</w:t>
      </w:r>
    </w:p>
    <w:p w:rsidR="00C45474" w:rsidRPr="00C45474" w:rsidRDefault="00C45474" w:rsidP="00C45474">
      <w:pPr>
        <w:spacing w:before="20" w:after="0" w:line="236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13.1.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Wykonawca musi zapewnić pracę urządzeń radiowych w paśmie licencjonowanym. Wykonawca musi przedstawić Zamawiającemu wraz z projektem instalacyjnym przyznane przez UKE częstotliwości radiowe lub kserokopię wniosku o przydzielenie częstotliwości z nadaną przez UKE numeracją.</w:t>
      </w:r>
    </w:p>
    <w:p w:rsidR="00C45474" w:rsidRPr="00C45474" w:rsidRDefault="00C45474" w:rsidP="00C45474">
      <w:pPr>
        <w:tabs>
          <w:tab w:val="left" w:pos="0"/>
        </w:tabs>
        <w:spacing w:before="20" w:after="0" w:line="11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38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13.2.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Zamawiający dopuszcza możliwości posadowienia niepenetrujących elementów konstrukcyjnych urządzeń łącza radiowego na budynkach będących w trwałym zarządzie Policji. W przypadku zastosowania przez Wykonawcę konstrukcji związanych z murem Wykonawca przekaże je na własność Zamawiającego lub po zakończeniu okresu obowiązywania umowy, zdemontuje konstrukcje na własny koszt i przywróci stan techniczny muru sprzed instalacji.</w:t>
      </w:r>
    </w:p>
    <w:p w:rsidR="00C45474" w:rsidRPr="00C45474" w:rsidRDefault="00C45474" w:rsidP="00C45474">
      <w:pPr>
        <w:tabs>
          <w:tab w:val="left" w:pos="0"/>
        </w:tabs>
        <w:spacing w:before="20" w:after="0" w:line="1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3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Instalacja elementów konstrukcyjnych łącza radiowego na budynkach nie będących własnością Policji wymaga uzyskania zgody właściciela obiektu, które to wykonawca musi przedstawić wraz z projektem instalacyjnym.</w:t>
      </w:r>
    </w:p>
    <w:p w:rsidR="00C45474" w:rsidRPr="00C45474" w:rsidRDefault="00C45474" w:rsidP="00C45474">
      <w:pPr>
        <w:tabs>
          <w:tab w:val="left" w:pos="0"/>
        </w:tabs>
        <w:spacing w:before="20" w:after="0" w:line="1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37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13.3.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W przypadku doprowadzenia przez Wykonawcę usługi do obiektu Zamawiającego dla więcej niż jednej relacji za pomocą łączy w technologii radiowej, Zamawiający wymaga zastosowania jednej wspólnej instalacji antenowej dla wszystkich łączy zestawianych drogą radiową przez Wykonawcę do tego obiektu.</w:t>
      </w:r>
    </w:p>
    <w:p w:rsidR="00C45474" w:rsidRPr="00C45474" w:rsidRDefault="00C45474" w:rsidP="00C45474">
      <w:pPr>
        <w:tabs>
          <w:tab w:val="left" w:pos="0"/>
        </w:tabs>
        <w:spacing w:before="20" w:after="0" w:line="1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34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13.4.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Zamawiający wymaga prowadzenia instalacji sygnałowych i zasilających wewnątrz budynków Zamawiającego.</w:t>
      </w:r>
    </w:p>
    <w:p w:rsidR="00C45474" w:rsidRPr="00C45474" w:rsidRDefault="00C45474" w:rsidP="00C45474">
      <w:pPr>
        <w:spacing w:before="20" w:after="0" w:line="234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13.5. Zamawiający nie wyraża zgody na wykorzystanie dla potrzeb instalacji antenowej łącza radiowego masztów Zamawiającego.</w:t>
      </w:r>
    </w:p>
    <w:p w:rsidR="00C45474" w:rsidRPr="00C45474" w:rsidRDefault="00C45474" w:rsidP="00C45474">
      <w:pPr>
        <w:spacing w:before="20" w:after="0" w:line="234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13.6. Urządzenia łącza radiowego nie mogą zakłócać pracy urządzeń Zamawiającego oraz pogarszać zasięgów łączności radiowej Zamawiającego.</w:t>
      </w:r>
    </w:p>
    <w:p w:rsidR="00C45474" w:rsidRPr="00C45474" w:rsidRDefault="00C45474" w:rsidP="00C45474">
      <w:pPr>
        <w:spacing w:before="20" w:after="0" w:line="234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13.7.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Wykonawca dla poszczególnych obiektów Zamawiającego musi opracować projekty instalacyjne urządzeń łącza radiowego przewidzianych do instalacji na tych obiektach zawierające rysunki i opis konstrukcji antenowych, linii sygnałowych, zasilających i odgromowych oraz urządzeń aktywnych.</w:t>
      </w:r>
    </w:p>
    <w:p w:rsidR="00C45474" w:rsidRPr="00C45474" w:rsidRDefault="00C45474" w:rsidP="00C45474">
      <w:pPr>
        <w:tabs>
          <w:tab w:val="left" w:pos="0"/>
        </w:tabs>
        <w:spacing w:before="20" w:after="0" w:line="1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37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13.8.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Dla konstrukcji antenowych przewidywanych do umieszczenia na obiektach Zamawiającego, z wyjątkiem lekkich konstrukcji wsporczych do 3m, Wykonawca musi wykonać ekspertyzy wytrzymałościowe potwierdzające możliwość umieszczenia ich na konstrukcji budynku, podpisane przez uprawnionego projektanta. Ekspertyzy Wykonawca musi przedstawić wraz z projektem instalacyjnym.</w:t>
      </w:r>
    </w:p>
    <w:p w:rsidR="00C45474" w:rsidRPr="00C45474" w:rsidRDefault="00C45474" w:rsidP="00C45474">
      <w:pPr>
        <w:spacing w:before="20" w:after="0" w:line="237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13.9.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Wraz z projektem instalacyjnym Wykonawca musi przedstawić obliczenia wykonane zgodnie ze zaleceniem ITU-R P.530 potwierdzające spełnienie wymaganego poziomu dostępności łącza.</w:t>
      </w:r>
    </w:p>
    <w:p w:rsidR="00C45474" w:rsidRPr="00C45474" w:rsidRDefault="00C45474" w:rsidP="00C45474">
      <w:pPr>
        <w:tabs>
          <w:tab w:val="left" w:pos="0"/>
        </w:tabs>
        <w:spacing w:before="20" w:after="0" w:line="15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before="20" w:after="0" w:line="237" w:lineRule="auto"/>
        <w:ind w:left="567" w:right="20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13.10.Zamawiający wymaga, aby Wykonawca wykonał dla urządzeń łącza radiowego strefową ochronę przeciwprzepięciową. Projekt strefowej ochrony przeciwprzepięciowej Wykonawca musi przedstawić wraz z projektem instalacyjnym. Zamawiający dopuszcza następujące wartości szczytowe w strefie dla udarów prądowych o kształcie 8μs/20μs:</w:t>
      </w:r>
    </w:p>
    <w:p w:rsidR="00C45474" w:rsidRPr="00C45474" w:rsidRDefault="00C45474" w:rsidP="00C45474">
      <w:pPr>
        <w:tabs>
          <w:tab w:val="left" w:pos="0"/>
        </w:tabs>
        <w:spacing w:before="20" w:after="0" w:line="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- przepięcia w instalacji elektrycznej – 2,5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45474" w:rsidRPr="00C45474" w:rsidRDefault="00C45474" w:rsidP="00C45474">
      <w:pPr>
        <w:tabs>
          <w:tab w:val="left" w:pos="0"/>
        </w:tabs>
        <w:spacing w:before="20" w:after="0" w:line="1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- przepięcia w liniach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przesyłu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 sygnału (przewód-ziemia) – 1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45474" w:rsidRPr="00C45474" w:rsidRDefault="00C45474" w:rsidP="00C45474">
      <w:pPr>
        <w:spacing w:before="20" w:after="0" w:line="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13.11.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Projekty instalacyjne dla poszczególnych obiektów wymagają akceptacji przez Zamawiającego.</w:t>
      </w:r>
    </w:p>
    <w:p w:rsidR="00C45474" w:rsidRPr="00C45474" w:rsidRDefault="00C45474" w:rsidP="00C45474">
      <w:pPr>
        <w:spacing w:before="20" w:after="0" w:line="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13.12.Wykonawca musi zapewnić szyfrowanie transmisji na drodze radiowej łącza metodą minimum AES256CCM i zarządzaniem kluczami zgodnie z zaleceniem ITUT-X.509.</w:t>
      </w:r>
    </w:p>
    <w:p w:rsidR="00C45474" w:rsidRPr="00C45474" w:rsidRDefault="00C45474" w:rsidP="00C45474">
      <w:pPr>
        <w:spacing w:before="20" w:after="0" w:line="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13.13.Zamawiający wymaga aby usługa dzierżawy łącza była dostępna niezależnie od przerw w dostawie energii elektrycznej do obiektów Zamawiającego przez okres minimum jednej godziny od wystąpienia przerwy w dostawie energii.</w:t>
      </w:r>
    </w:p>
    <w:p w:rsidR="00C45474" w:rsidRPr="00C45474" w:rsidRDefault="00C45474" w:rsidP="00C45474">
      <w:pPr>
        <w:spacing w:before="20" w:after="0" w:line="0" w:lineRule="atLeast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13.14.Wykonawca musi zapewnić służbom technicznym Zamawiającego możliwość dostępu do danych statystycznych i utrzymaniowych łącza radiowego między innymi takich jak parametry transmisyjne.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14.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Wykonawca zaproponuje testy do sprawdzenia poprawności działania łączy, testy muszą uzyskać akceptację Zamawiającego.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15.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Łącze musi być zgłoszone do odbioru minimum 72 godziny przed planowanym przeprowadzeniem testów odbiorczych.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16.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Wykonawca wykona pomiary i testy wszystkich przedmiotowych łączy oraz dostarczy podpisany przez upoważnionego przedstawiciela protokół.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17.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Po wykonaniu pomiarów i testów, łącze będzie podlegać obserwacji przez 24 godziny pod kątem poprawnej pracy w sieci OST112 i ewentualnych występujących na nim błędów.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18. Celem zapewnienia właściwej jakości usług Wykonawca dostarczy do każdej lokalizacji dedykowany sprzęt ( router dostępowy, </w:t>
      </w:r>
      <w:proofErr w:type="spellStart"/>
      <w:r w:rsidRPr="00C45474">
        <w:rPr>
          <w:rFonts w:ascii="Arial" w:eastAsia="Calibri" w:hAnsi="Arial" w:cs="Arial"/>
          <w:sz w:val="20"/>
          <w:szCs w:val="20"/>
          <w:lang w:eastAsia="pl-PL"/>
        </w:rPr>
        <w:t>switche</w:t>
      </w:r>
      <w:proofErr w:type="spellEnd"/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 i UPS-y, wykaz Załącznik nr 1).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19. 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  <w:t xml:space="preserve">Przekazanie sprzętu nastąpi nie później niż 14 dni przed rozpoczęciem świadczenia usługi w danej relacji. 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>20.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  <w:t>Wykaz dostarczonego sprzętu wraz z lokalizacjami zawiera załącznik nr 1do Umowy.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21.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Przed dostarczeniem urządzeń sieciowych, Wykonawca powiadomi Zamawiającego o gotowości przeprowadzenia odbiorów jakościowych i ilościowych podając planowaną datę dostarczenia Przedmiotu Umowy do odbiorów, z co najmniej 2- dniowym wyprzedzeniem, przesyłając informację na wskazany przez Zamawiającego nr faksu i adres e-mail.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22.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Odbiory jakościowe i ilościowe zostaną dokonane przez osoby wskazane w Umowie.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>23.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ab/>
        <w:t xml:space="preserve">Wszystkie wskazane w opisie przedmiotu zamówienia znaki towarowe, nazwy handlowe produktów należy rozumieć jako określenie wymaganych norm i standardów jakościowych dla danego produktu. Ilekroć w opisie przedmiotu zamówienia jest mowa o odniesieniu do norm o materiałach, wyrobach lub sprzęcie z podaniem znaków towarowych, patentów, nazw własnych lub pochodzenia, to przyjmuje się, że wskazaniom takim towarzyszą wyrazy „lub równoważne”. 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lastRenderedPageBreak/>
        <w:t>Oznaczenia i nazwy własne materiałów i produktów służą wyłącznie do opisania minimalnych parametrów technicznych, standardów jakościowych, które powinny spełniać te produkty. Zamawiający podkreśla, iż zgodnie z art. 30 ust. 5 ustawy PZP, ciężar udowodnienia, że oferowany przedmiot zamówienia jest równoważny, w stosunku do wymagań określonych przez Zamawiającego w SIWZ, spoczywa na Wykonawcy składającym ofertę. Za sprzęt/produkty równoważne przyjmuje się sprzęt/produkty spełniające wszystkie minimalne wymagania określone przez Zamawiającego w SIWZ.</w:t>
      </w:r>
    </w:p>
    <w:p w:rsidR="00C45474" w:rsidRPr="00C45474" w:rsidRDefault="00C45474" w:rsidP="00C45474">
      <w:pPr>
        <w:spacing w:before="20"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24. Policja jako Operator sieci OST112 użytkuje urządzenia sieciowe Cisco i dysponuje urządzeniami bazującymi na rozwiązaniach tego producenta. Routery dostarczane w ramach dzierżawy łączy telekomunikacyjnych w jednostkach Policji na terenie garnizonu łódzkiego muszą w pełni współpracować z urządzeniami jak również protokołami komunikacyjnymi i kryptograficznymi firmy Cisco Systems zaimplementowanymi w sieci OST112 zabezpieczonej </w:t>
      </w:r>
      <w:proofErr w:type="spellStart"/>
      <w:r w:rsidRPr="00C45474">
        <w:rPr>
          <w:rFonts w:ascii="Arial" w:eastAsia="Calibri" w:hAnsi="Arial" w:cs="Arial"/>
          <w:sz w:val="20"/>
          <w:szCs w:val="20"/>
          <w:lang w:eastAsia="pl-PL"/>
        </w:rPr>
        <w:t>IPSec</w:t>
      </w:r>
      <w:proofErr w:type="spellEnd"/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 w oparciu o technologię Cisco Get-VPN oraz DM-VPN.</w:t>
      </w:r>
    </w:p>
    <w:p w:rsidR="00C45474" w:rsidRPr="00C45474" w:rsidRDefault="00C45474" w:rsidP="00C45474">
      <w:pPr>
        <w:suppressAutoHyphens/>
        <w:spacing w:before="20" w:after="0" w:line="240" w:lineRule="auto"/>
        <w:rPr>
          <w:rFonts w:ascii="Arial" w:eastAsia="Calibri" w:hAnsi="Arial" w:cs="Arial"/>
          <w:sz w:val="24"/>
          <w:lang w:eastAsia="pl-PL"/>
        </w:rPr>
      </w:pPr>
    </w:p>
    <w:p w:rsidR="00C45474" w:rsidRPr="00C45474" w:rsidRDefault="00C45474" w:rsidP="00C45474">
      <w:pPr>
        <w:suppressAutoHyphens/>
        <w:spacing w:before="20" w:after="0" w:line="240" w:lineRule="auto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4"/>
          <w:lang w:eastAsia="pl-PL"/>
        </w:rPr>
        <w:t xml:space="preserve">Tabela nr 1 - Wykaz łączy </w:t>
      </w:r>
      <w:proofErr w:type="spellStart"/>
      <w:r w:rsidRPr="00C45474">
        <w:rPr>
          <w:rFonts w:ascii="Arial" w:eastAsia="Calibri" w:hAnsi="Arial" w:cs="Arial"/>
          <w:sz w:val="24"/>
          <w:lang w:val="en-US" w:eastAsia="pl-PL"/>
        </w:rPr>
        <w:t>ethernet</w:t>
      </w:r>
      <w:proofErr w:type="spellEnd"/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118"/>
        <w:gridCol w:w="3545"/>
        <w:gridCol w:w="1276"/>
      </w:tblGrid>
      <w:tr w:rsidR="00C45474" w:rsidRPr="00C45474" w:rsidTr="00B22CC8">
        <w:trPr>
          <w:trHeight w:val="675"/>
        </w:trPr>
        <w:tc>
          <w:tcPr>
            <w:tcW w:w="8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Zadanie 1</w:t>
            </w:r>
          </w:p>
        </w:tc>
      </w:tr>
      <w:tr w:rsidR="00C45474" w:rsidRPr="00C45474" w:rsidTr="00B22CC8">
        <w:trPr>
          <w:trHeight w:val="6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Relacja A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Relacja 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 xml:space="preserve">Prędkość transmisji minimalna </w:t>
            </w:r>
            <w:proofErr w:type="spellStart"/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Mb</w:t>
            </w:r>
            <w:proofErr w:type="spellEnd"/>
            <w:r w:rsidRPr="00C45474">
              <w:rPr>
                <w:rFonts w:ascii="Arial" w:eastAsia="Calibri" w:hAnsi="Arial" w:cs="Arial"/>
                <w:b/>
                <w:bCs/>
                <w:sz w:val="16"/>
                <w:szCs w:val="16"/>
                <w:lang w:eastAsia="pl-PL"/>
              </w:rPr>
              <w:t>/s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Łódź ul. Sienkiewicza 28/30, łącze agregowane, wszystkie łącza są doprowadzone do jednego portu GE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Konstantynów Łódzki ul. Zgierska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Tuszyn ul. Żeromskiego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Stryków ul. Grunwaldzka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Rzgów ul. 500-lecia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Ozorków ul. Wyszyńskiego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Aleksandrów Łódzki ul. Piotrkowska 10/12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>Głowno ul. Norblina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Krośniewice ul. Prusa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>Żychlin ul. Łukasińskiego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 xml:space="preserve">Uniejów </w:t>
            </w:r>
            <w:proofErr w:type="spellStart"/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>ul.Kościelnicka</w:t>
            </w:r>
            <w:proofErr w:type="spellEnd"/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 xml:space="preserve">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Łódź Nastrojowa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Łódź Leszka Białego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Łódź Zbocze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Łódź Tatrzańska 42/44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Łódź </w:t>
            </w:r>
            <w:proofErr w:type="spellStart"/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Skrzywana</w:t>
            </w:r>
            <w:proofErr w:type="spellEnd"/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Zelów ul. Kościuszki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Kamieńsk ul. Ludowa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Przedbórz ul. Mostowa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Rokiciny ul.  Łódzka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Czerniewice ul. Mazowiecka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Wolbórz ul. Warszawska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Gorzkowice ul. Szkolna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Grabica, Grabica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Sulejów ul. Szkolna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Paradyż ul. Opoczyńska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Kobiele Wielkie ul. Reymonta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Drzewica ul. Sikorskiego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Warta ul. 3 Maja 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Błaszki Pl. Niepodległości 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Złoczew ul. Parkowa 12B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lastRenderedPageBreak/>
              <w:t>31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>Widawa ul. Wieluńska 15 / od 01.02.2020 r. Widawa, Nowy Rynek 16 - nowa lokalizacja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8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  <w:t>Biała Druga nr 4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Osjaków ul. Wieluńska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Działoszyn, ul. Piłsudskiego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Biała Rawska ul. Jana Pawła II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Andrespol, </w:t>
            </w:r>
            <w:proofErr w:type="spellStart"/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Rokicińska</w:t>
            </w:r>
            <w:proofErr w:type="spellEnd"/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Wartkowice, Targowa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Piątek, </w:t>
            </w:r>
            <w:proofErr w:type="spellStart"/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Stodolniana</w:t>
            </w:r>
            <w:proofErr w:type="spellEnd"/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Ksawerów, Kościuszki 3H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Lgota Wielka, Radomszczańska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Żytno, Krótka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Moszczenica, Piotrkowska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Drużbice, Drużbice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Kleszczów, Urzędowa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Kluki, Kluki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Szczerców, Puławskiego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Rusiec, Wieluńska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Szadek, Widawska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2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Nieborów, Legionów Polskich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Łódź, ul. Norwida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Stryków, Sosnowiec 25a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45474" w:rsidRPr="00C45474" w:rsidTr="00B22CC8">
        <w:trPr>
          <w:trHeight w:val="3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Bolimów Farna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</w:tbl>
    <w:p w:rsidR="00C45474" w:rsidRPr="00C45474" w:rsidRDefault="00C45474" w:rsidP="00C45474">
      <w:pPr>
        <w:suppressAutoHyphens/>
        <w:spacing w:before="20" w:after="0" w:line="240" w:lineRule="auto"/>
        <w:rPr>
          <w:rFonts w:ascii="Arial" w:eastAsia="Calibri" w:hAnsi="Arial" w:cs="Arial"/>
          <w:sz w:val="24"/>
          <w:lang w:eastAsia="pl-PL"/>
        </w:rPr>
      </w:pPr>
    </w:p>
    <w:p w:rsidR="00C45474" w:rsidRPr="00C45474" w:rsidRDefault="00C45474" w:rsidP="00C45474">
      <w:pPr>
        <w:suppressAutoHyphens/>
        <w:spacing w:before="20" w:after="0" w:line="240" w:lineRule="auto"/>
        <w:rPr>
          <w:rFonts w:ascii="Arial" w:eastAsia="Calibri" w:hAnsi="Arial" w:cs="Arial"/>
          <w:sz w:val="24"/>
          <w:lang w:eastAsia="pl-PL"/>
        </w:rPr>
      </w:pPr>
    </w:p>
    <w:p w:rsidR="00C45474" w:rsidRPr="00C45474" w:rsidRDefault="00C45474" w:rsidP="00C45474">
      <w:pPr>
        <w:suppressAutoHyphens/>
        <w:spacing w:before="20" w:after="0" w:line="240" w:lineRule="auto"/>
        <w:rPr>
          <w:rFonts w:ascii="Arial" w:eastAsia="Calibri" w:hAnsi="Arial" w:cs="Arial"/>
          <w:sz w:val="24"/>
          <w:lang w:eastAsia="pl-PL"/>
        </w:rPr>
      </w:pPr>
      <w:r w:rsidRPr="00C45474">
        <w:rPr>
          <w:rFonts w:ascii="Arial" w:eastAsia="Calibri" w:hAnsi="Arial" w:cs="Arial"/>
          <w:sz w:val="24"/>
          <w:lang w:eastAsia="pl-PL"/>
        </w:rPr>
        <w:t>Tabela nr 2 – Wykaz łączy tymczasowych</w:t>
      </w:r>
      <w:r w:rsidRPr="00C45474">
        <w:rPr>
          <w:rFonts w:ascii="Arial" w:eastAsia="Calibri" w:hAnsi="Arial" w:cs="Arial"/>
          <w:sz w:val="24"/>
          <w:lang w:val="en-US" w:eastAsia="pl-PL"/>
        </w:rPr>
        <w:t xml:space="preserve"> E1</w:t>
      </w:r>
      <w:r w:rsidRPr="00C45474">
        <w:rPr>
          <w:rFonts w:ascii="Arial" w:eastAsia="Calibri" w:hAnsi="Arial" w:cs="Arial"/>
          <w:sz w:val="24"/>
          <w:lang w:eastAsia="pl-PL"/>
        </w:rPr>
        <w:t xml:space="preserve">. </w:t>
      </w:r>
    </w:p>
    <w:p w:rsidR="00C45474" w:rsidRPr="00C45474" w:rsidRDefault="00C45474" w:rsidP="00C45474">
      <w:pPr>
        <w:suppressAutoHyphens/>
        <w:spacing w:before="20" w:after="0" w:line="240" w:lineRule="auto"/>
        <w:rPr>
          <w:rFonts w:ascii="Arial" w:eastAsia="Calibri" w:hAnsi="Arial" w:cs="Arial"/>
          <w:sz w:val="24"/>
          <w:lang w:eastAsia="pl-PL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117"/>
        <w:gridCol w:w="3545"/>
        <w:gridCol w:w="1134"/>
      </w:tblGrid>
      <w:tr w:rsidR="00C45474" w:rsidRPr="00C45474" w:rsidTr="00B22CC8">
        <w:trPr>
          <w:trHeight w:val="4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</w:pPr>
          </w:p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  <w:t>Relacja 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  <w:t>Relacja 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bCs/>
                <w:sz w:val="16"/>
                <w:szCs w:val="16"/>
                <w:lang w:eastAsia="pl-PL"/>
              </w:rPr>
              <w:t>Styk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Łódź ul. Sienkiewicza 28/30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Konstantynów Łódzki ul. Zgierska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Łódź ul. Sienkiewicza 28/30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Tuszyn ul. Żeromskiego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Łódź ul. Sienkiewicza 28/30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Stryków ul. Grunwaldzka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Łódź ul. Sienkiewicza 28/30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Rzgów ul. 500-lecia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Zgierz ul. Długa 58/60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Ozorków ul. Wyszyńskiego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Zgierz ul. Długa 58/60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Aleksandrów Łódzki ul. Piotrkowska 10/12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Stryków ul. Grunwaldzka 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  <w:t>Głowno ul. Norblina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Kutno ul. Toruńska 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Krośniewice ul. Prusa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Kutno ul. Toruńska 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  <w:t>Żychlin ul. Łukasińskiego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C45474">
              <w:rPr>
                <w:rFonts w:ascii="Arial" w:eastAsia="Calibri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Pajęczno ul. 1-go Maja 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Działoszyn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ul.Piłsudskiego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Poddębice ul. Targowa 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  <w:t xml:space="preserve">Uniejów </w:t>
            </w:r>
            <w:proofErr w:type="spellStart"/>
            <w:r w:rsidRPr="00C45474"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  <w:t>ul.Kościelnicka</w:t>
            </w:r>
            <w:proofErr w:type="spellEnd"/>
            <w:r w:rsidRPr="00C45474"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  <w:t xml:space="preserve">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Sieradz ul. Sikorskiego 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Warta ul. 3 Maja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Sieradz ul. Sikorskiego 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Błaszki Pl. Niepodległości 13A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Sieradz ul. Sikorskiego 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Złoczew ul. Parkowa 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Sieradz ul. Sikorskiego 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Widawa ul. Wieluńska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Wieluń ul. Warszawska 22A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b/>
                <w:i/>
                <w:sz w:val="16"/>
                <w:szCs w:val="16"/>
                <w:lang w:eastAsia="pl-PL"/>
              </w:rPr>
              <w:t>Biała Druga nr 4 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Wieluń ul. Warszawska 22A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Osjaków ul. Wieluńska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Rawa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Maz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. ul. Kościuszki 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Biała Rawska ul. Jana Pawła II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Bełchatów ul. 1-go Maja 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Zelów ul. Kościuszki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Radomsko ul. Piłsudskiego 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Kamieńsk ul. Ludowa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Radomsko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ul.Piłsudskiego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Przedbórz ul. Mostowa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Tomaszów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Maz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ul. Wandy Panfil 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Rokiciny ul.  Łódzka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Tomaszów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Maz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ul. Wandy Panfil 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Czerniewice ul. Mazowiecka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Tomaszów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Maz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ul. Wandy Panfil 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Wolbórz ul. Warszawska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Piotrków ul. Szkolna 30/38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Gorzkowice ul. Szkolna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Piotrków ul. Szkolna 30/38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Grabica, Grabica 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20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Piotrków ul. Szkolna 30/38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Sulejów ul. Szkolna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20"/>
                <w:lang w:eastAsia="pl-PL"/>
              </w:rPr>
              <w:t>V36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Opoczno ul. Dąbrówki 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Drzewica ul. Sikorskiego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Opoczno ul. Dąbrówki 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Paradyż ul. Opoczyńska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438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117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Łódź ul. Sienkiewicza 28/30</w:t>
            </w:r>
          </w:p>
        </w:tc>
        <w:tc>
          <w:tcPr>
            <w:tcW w:w="3545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Stryków, Sosnowiec 25a</w:t>
            </w:r>
          </w:p>
        </w:tc>
        <w:tc>
          <w:tcPr>
            <w:tcW w:w="1134" w:type="dxa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Calibri" w:eastAsia="Calibri" w:hAnsi="Calibri" w:cs="Arial"/>
                <w:sz w:val="16"/>
                <w:szCs w:val="20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  <w:tr w:rsidR="00C45474" w:rsidRPr="00C45474" w:rsidTr="00B22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438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117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Radomsko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ul.Piłsudskiego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56</w:t>
            </w:r>
          </w:p>
        </w:tc>
        <w:tc>
          <w:tcPr>
            <w:tcW w:w="3545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Kobiele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Wlk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ul. Reymonta 79</w:t>
            </w:r>
          </w:p>
        </w:tc>
        <w:tc>
          <w:tcPr>
            <w:tcW w:w="1134" w:type="dxa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V36</w:t>
            </w:r>
          </w:p>
        </w:tc>
      </w:tr>
      <w:tr w:rsidR="00C45474" w:rsidRPr="00C45474" w:rsidTr="00B22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438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jc w:val="center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117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Radomsko </w:t>
            </w:r>
            <w:proofErr w:type="spellStart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ul.Piłsudskiego</w:t>
            </w:r>
            <w:proofErr w:type="spellEnd"/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 xml:space="preserve"> 56</w:t>
            </w:r>
          </w:p>
        </w:tc>
        <w:tc>
          <w:tcPr>
            <w:tcW w:w="3545" w:type="dxa"/>
            <w:vAlign w:val="bottom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Lgota Wielka, Radomszczańska 60</w:t>
            </w:r>
          </w:p>
        </w:tc>
        <w:tc>
          <w:tcPr>
            <w:tcW w:w="1134" w:type="dxa"/>
          </w:tcPr>
          <w:p w:rsidR="00C45474" w:rsidRPr="00C45474" w:rsidRDefault="00C45474" w:rsidP="00C45474">
            <w:pPr>
              <w:spacing w:before="20" w:after="0" w:line="240" w:lineRule="auto"/>
              <w:rPr>
                <w:rFonts w:ascii="Verdana" w:eastAsia="Calibri" w:hAnsi="Verdana" w:cs="Arial"/>
                <w:sz w:val="16"/>
                <w:szCs w:val="16"/>
                <w:lang w:eastAsia="pl-PL"/>
              </w:rPr>
            </w:pPr>
            <w:r w:rsidRPr="00C45474">
              <w:rPr>
                <w:rFonts w:ascii="Verdana" w:eastAsia="Calibri" w:hAnsi="Verdana" w:cs="Arial"/>
                <w:sz w:val="16"/>
                <w:szCs w:val="16"/>
                <w:lang w:eastAsia="pl-PL"/>
              </w:rPr>
              <w:t>G.703</w:t>
            </w:r>
          </w:p>
        </w:tc>
      </w:tr>
    </w:tbl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>Wymagania techniczne dla dostarczonego sprzętu: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>Wymagania dla UPS-ów: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C45474">
        <w:rPr>
          <w:rFonts w:ascii="Arial" w:eastAsia="Calibri" w:hAnsi="Arial" w:cs="Arial"/>
          <w:b/>
          <w:sz w:val="20"/>
          <w:szCs w:val="20"/>
        </w:rPr>
        <w:t>-</w:t>
      </w:r>
      <w:r w:rsidRPr="00C45474">
        <w:rPr>
          <w:rFonts w:ascii="Arial" w:eastAsia="Calibri" w:hAnsi="Arial" w:cs="Arial"/>
          <w:bCs/>
          <w:sz w:val="20"/>
          <w:szCs w:val="20"/>
        </w:rPr>
        <w:t xml:space="preserve"> UPS przystosowany do montażu w szafie 19” wraz z bateriami,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- </w:t>
      </w:r>
      <w:r w:rsidRPr="00C45474">
        <w:rPr>
          <w:rFonts w:ascii="Arial" w:eastAsia="Calibri" w:hAnsi="Arial" w:cs="Arial"/>
          <w:b/>
          <w:bCs/>
          <w:sz w:val="20"/>
          <w:szCs w:val="20"/>
          <w:lang w:eastAsia="pl-PL"/>
        </w:rPr>
        <w:t>typ 1</w:t>
      </w:r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 - moc minimalna 600VA, pojemność baterii min. 300Wh, np. </w:t>
      </w:r>
      <w:proofErr w:type="spellStart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>Ever</w:t>
      </w:r>
      <w:proofErr w:type="spellEnd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>PowerLine</w:t>
      </w:r>
      <w:proofErr w:type="spellEnd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 RT1000 z kartą zarządzającą SNMP/HTTP,   </w:t>
      </w:r>
      <w:r w:rsidRPr="00C45474">
        <w:rPr>
          <w:rFonts w:ascii="Arial" w:eastAsia="Calibri" w:hAnsi="Arial" w:cs="Arial"/>
          <w:b/>
          <w:bCs/>
          <w:sz w:val="20"/>
          <w:szCs w:val="20"/>
          <w:lang w:eastAsia="pl-PL"/>
        </w:rPr>
        <w:t>- 20 szt.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rPr>
          <w:rFonts w:ascii="Arial" w:eastAsia="Calibri" w:hAnsi="Arial" w:cs="Arial"/>
          <w:bCs/>
          <w:color w:val="FF0000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- </w:t>
      </w:r>
      <w:r w:rsidRPr="00C45474">
        <w:rPr>
          <w:rFonts w:ascii="Arial" w:eastAsia="Calibri" w:hAnsi="Arial" w:cs="Arial"/>
          <w:b/>
          <w:bCs/>
          <w:sz w:val="20"/>
          <w:szCs w:val="20"/>
          <w:lang w:eastAsia="pl-PL"/>
        </w:rPr>
        <w:t>typ 2</w:t>
      </w:r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 - moc minimalna 900VA, pojemność baterii min. 500Wh, np. </w:t>
      </w:r>
      <w:proofErr w:type="spellStart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>Ever</w:t>
      </w:r>
      <w:proofErr w:type="spellEnd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>PowerLine</w:t>
      </w:r>
      <w:proofErr w:type="spellEnd"/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 xml:space="preserve"> RT1000 z        zewnętrznym modułem bateryjnym i</w:t>
      </w:r>
      <w:r w:rsidRPr="00C45474">
        <w:rPr>
          <w:rFonts w:ascii="Arial" w:eastAsia="Calibri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C45474">
        <w:rPr>
          <w:rFonts w:ascii="Arial" w:eastAsia="Calibri" w:hAnsi="Arial" w:cs="Arial"/>
          <w:bCs/>
          <w:sz w:val="20"/>
          <w:szCs w:val="20"/>
          <w:lang w:eastAsia="pl-PL"/>
        </w:rPr>
        <w:t>kartą zarządzającą SNMP/HTTP,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C45474">
        <w:rPr>
          <w:rFonts w:ascii="Arial" w:eastAsia="Calibri" w:hAnsi="Arial" w:cs="Arial"/>
          <w:bCs/>
          <w:sz w:val="20"/>
          <w:szCs w:val="20"/>
        </w:rPr>
        <w:t>- komunikacja i zarządzanie po SNMP/http</w:t>
      </w:r>
      <w:r w:rsidRPr="00C45474">
        <w:rPr>
          <w:rFonts w:ascii="Arial" w:eastAsia="Calibri" w:hAnsi="Arial" w:cs="Arial"/>
          <w:b/>
          <w:bCs/>
          <w:sz w:val="20"/>
          <w:szCs w:val="20"/>
        </w:rPr>
        <w:t>, - 30 szt.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C45474">
        <w:rPr>
          <w:rFonts w:ascii="Arial" w:eastAsia="Calibri" w:hAnsi="Arial" w:cs="Arial"/>
          <w:bCs/>
          <w:sz w:val="20"/>
          <w:szCs w:val="20"/>
        </w:rPr>
        <w:t>- w przypadku spadku pojemności baterii &lt;60% pojemności znamionowej, bateria/UPS zostanie wymieniony przez Wykonawcę w ramach gwarancji/Umowy.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rPr>
          <w:rFonts w:ascii="Arial" w:eastAsia="Calibri" w:hAnsi="Arial" w:cs="Arial"/>
          <w:bCs/>
          <w:color w:val="FF0000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Cs/>
          <w:color w:val="FF0000"/>
          <w:sz w:val="20"/>
          <w:szCs w:val="20"/>
          <w:lang w:eastAsia="pl-PL"/>
        </w:rPr>
        <w:t xml:space="preserve"> </w:t>
      </w: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Wymagania ogólne dla routerów Typ 1, Typ 2 i Typ 3</w:t>
      </w: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Wszystkie dostarczone routery muszą zapewniać: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Obsługa protokołów IEEE 802.1Q, 802.1p, ICMP.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Nie mniej niż dwa (2) porty Ethernet 10/100/1000Base-T.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Obsługa IPv4 i IPv6.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Obsługa MTU nie mniejszego niż 1522 bajty.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Obsługa ruchu broadcast, </w:t>
      </w:r>
      <w:proofErr w:type="spellStart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unicast</w:t>
      </w:r>
      <w:proofErr w:type="spellEnd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i </w:t>
      </w:r>
      <w:proofErr w:type="spellStart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multicast</w:t>
      </w:r>
      <w:proofErr w:type="spellEnd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Szyfrowanie Cisco GET (</w:t>
      </w:r>
      <w:proofErr w:type="spellStart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Group</w:t>
      </w:r>
      <w:proofErr w:type="spellEnd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Encrypted</w:t>
      </w:r>
      <w:proofErr w:type="spellEnd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Transport) VPN.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Routing statyczny.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Routing dynamiczny oparty na protokołach: OSPF, EIGRP, BGPv4, IS-ISv4.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Funkcja Virtual Routing and </w:t>
      </w:r>
      <w:proofErr w:type="spellStart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Forvarding</w:t>
      </w:r>
      <w:proofErr w:type="spellEnd"/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(VRF) lub analogiczna pozwalająca na utworzenie nie mniej niż dziesięciu (10) sieci wirtualnych o nakładającej się adresacji IP.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Obsługa nie mniej niż trzydziestu (30) aktywnych VLAN-ów o numerach od 1 do 4094.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Zaimplementowane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mechanizmy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Quality of Service (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QoS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)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bazujące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protokole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IEEE 802.1p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oraz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Differentiated Services Code Point (DSCP).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Powinno być zapewnione wsparcie następujących mechanizmów związanych z zapewnieniem jakości usług w sieci: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12.1.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Obsługa co najmniej czterech kolejek sprzętowych dla różnego rodzaju ruchu,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12.2.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Obsługa co najmniej jednej kolejki ze statusem priorytetowym (bezwzględne </w:t>
      </w:r>
      <w:r w:rsidRPr="00C45474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pierwszeństwo obsługi).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Zdalne wykonywanie zmian konfiguracyjnych oraz nadzoru.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Konfigurację za pomocą interfejsu linii poleceń (ang.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Command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Line Interface – CLI).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Plik konfiguracyjny urządzenia (w szczególności plik konfiguracji parametrów routingu) musi pozwalać na edycję w trybie off-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line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tzn. musi być możliwość przeglądania i zmian konfiguracji w pliku tekstowym na dowolnym komputerze.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Zdalne zarządzanie poprzez protokoły SNMPv3 i SSH v2.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Eksport statystyk ruchowych za pomocą protokołu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Netflow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lub odpowiednika.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Komunikacja z serwerami uwierzytelnienia i autoryzacji za pośrednictwem protokołów RADIUS lub TACACS+ dla kont administratorów urządzenia,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Zasilanie ze źródła prądu zmiennego 230V.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Montaż w szafie 19” (Wykonawca dostarczy komplet akcesoriów montażowych).</w:t>
      </w:r>
    </w:p>
    <w:p w:rsidR="00C45474" w:rsidRPr="00C45474" w:rsidRDefault="00C45474" w:rsidP="00C45474">
      <w:pPr>
        <w:widowControl w:val="0"/>
        <w:numPr>
          <w:ilvl w:val="1"/>
          <w:numId w:val="3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Możliwość rozbudowy o funkcję bramy głosowej o następujących parametrach: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21.1. Prawidłowa współpraca z klastrem (CUCM) Cisco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Unified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Communication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Manager wersja 8.6.2 przy użyciu SIP-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trunk’ów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oraz z CUCM wersja 11.x przy wykorzystaniu SIP-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trunk’ów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SCCP lub MGCP.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21.2. Zapewniona sygnalizacja VoIP wykorzystująca protokoły SIP (RFC 3261), H.323, MGCP, SCCP;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21.3.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Obsługa kodeków G.711a, G.729;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21.4. Transmisja faksów przez sieć IP z wykorzystaniem trybu pass-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through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i kodeka G.711 lub protokołu T.38.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21.5. Transmisja sygnału modemu przez sieć IP z wykorzystaniem trybu pass-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through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i kodeka G.711.</w:t>
      </w:r>
    </w:p>
    <w:p w:rsidR="00C45474" w:rsidRPr="00C45474" w:rsidRDefault="00C45474" w:rsidP="00C45474">
      <w:pPr>
        <w:numPr>
          <w:ilvl w:val="1"/>
          <w:numId w:val="3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Możliwość rozbudowy o dwa (2) rodzaje spośród poniższych portów głosowych:</w:t>
      </w:r>
    </w:p>
    <w:p w:rsidR="00C45474" w:rsidRPr="00C45474" w:rsidRDefault="00C45474" w:rsidP="00C45474">
      <w:pPr>
        <w:numPr>
          <w:ilvl w:val="1"/>
          <w:numId w:val="8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2x FXO,</w:t>
      </w:r>
    </w:p>
    <w:p w:rsidR="00C45474" w:rsidRPr="00C45474" w:rsidRDefault="00C45474" w:rsidP="00C45474">
      <w:pPr>
        <w:numPr>
          <w:ilvl w:val="1"/>
          <w:numId w:val="8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 x FXS,</w:t>
      </w:r>
    </w:p>
    <w:p w:rsidR="00C45474" w:rsidRPr="00C45474" w:rsidRDefault="00C45474" w:rsidP="00C45474">
      <w:pPr>
        <w:numPr>
          <w:ilvl w:val="1"/>
          <w:numId w:val="8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 x BRI (ISDN).</w:t>
      </w:r>
    </w:p>
    <w:p w:rsidR="00C45474" w:rsidRPr="00C45474" w:rsidRDefault="00C45474" w:rsidP="00C45474">
      <w:pPr>
        <w:widowControl w:val="0"/>
        <w:tabs>
          <w:tab w:val="left" w:pos="0"/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Np. (2xFSX i 2xFXO) albo (2xFXS i 2xBRI), albo (2xFXO i 2xFXO) itp.</w:t>
      </w:r>
      <w:r w:rsidRPr="00C45474">
        <w:rPr>
          <w:rFonts w:ascii="Arial" w:eastAsia="Times New Roman" w:hAnsi="Arial" w:cs="Arial"/>
          <w:bCs/>
          <w:color w:val="70AD47"/>
          <w:sz w:val="20"/>
          <w:szCs w:val="20"/>
          <w:lang w:eastAsia="pl-PL"/>
        </w:rPr>
        <w:t xml:space="preserve"> </w:t>
      </w: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Routery typ 1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</w:t>
      </w:r>
      <w:r w:rsidRPr="00C4547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23 szt.-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</w:t>
      </w: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router Cisco 4321 lub równoważny -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spełniający powyższe wymagania dla wszystkich routerów.</w:t>
      </w: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Routery typ 2 – 28 szt. - router Cisco 4321 lub równoważny -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dodatkowo powinien mieć: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Włączoną funkcję bramy głosowej (32 kanały DSP).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Routery typ 3 – 1 szt. - router Cisco 4351 lub równoważny -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dodatkowo powinien mieć: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Włączoną funkcję bramy głosowej (64 kanały DSP).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Zapewniony jeden (1) port głosowy ISDN PRI (30B+D).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sz w:val="20"/>
          <w:szCs w:val="20"/>
          <w:lang w:eastAsia="pl-PL"/>
        </w:rPr>
        <w:t>Wykonawca wyposaży routery w moduły DSP w ilości zapewniającej zestawienie połączeń na wszystkich portach głosowych ISDN i FXS jednocześnie przy wykorzystaniu kodeka G711 na portach LAN i WAN.</w:t>
      </w:r>
    </w:p>
    <w:p w:rsidR="00C45474" w:rsidRPr="00C45474" w:rsidRDefault="00C45474" w:rsidP="00C45474">
      <w:pPr>
        <w:tabs>
          <w:tab w:val="left" w:pos="0"/>
        </w:tabs>
        <w:suppressAutoHyphens/>
        <w:spacing w:before="20"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Wymagania dla </w:t>
      </w:r>
      <w:proofErr w:type="spellStart"/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switchy</w:t>
      </w:r>
      <w:proofErr w:type="spellEnd"/>
      <w:r w:rsidRPr="00C45474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 dostępowych  Typ 1-35 szt.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 xml:space="preserve">Switch dostępowy z POE – przełącznik Cisco </w:t>
      </w:r>
      <w:proofErr w:type="spellStart"/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>Catalyst</w:t>
      </w:r>
      <w:proofErr w:type="spellEnd"/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 xml:space="preserve"> 2960X-24PS-L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  - lub równoważny, spełniający poniższe wymagania: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Zasilanie POE standardu IEEE 802.3af (15.4W na port) dostępne na wszystkich portach jednocześnie oraz  IEEE 802.3at (30W na port) dostępne jednocześnie na co najmniej połowie dostępnych portów Ethernet.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Zabezpieczenie przed podaniem napięcia zasilającego do urządzenia końcowego, które nie wspiera standardu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protokołów IEEE 802.1Q, 802.1p, ICMP.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minimum 255 aktywnych VLAN-ów o numerach od 1 do 4094.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Przełączanie pakietów L3 (64 bajty) – minimum 65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Mpps</w:t>
      </w:r>
      <w:proofErr w:type="spellEnd"/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</w:pP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Zaimplementowane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mechanizmy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Quality Of Service (QOS)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bazujące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protokole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IEEE 802.1p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oraz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Differentiated Services Code Point (DSCP).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Zdalne wykonywanie zmian konfiguracyjnych oraz nadzoru.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IPV4 i IPV6.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pełni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nieblokowalna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matryca przełączająca.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Zasilanie ze źródła prądu zmiennego 230V.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Dwadzieścia cztery (24) porty Ethernet 10/100/1000Base-T.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 mniej niż cztery (4) gniazda do podłączenia modułów światłowodowych SFP lub GBIC.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Zapewnienie wsparcia dla transmisji video poprzez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ethernet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obsługą tzw. ramek „jumbo” o wielkości nie mniejszej niż 9 tysięcy bajtów oraz możliwość obsługi ruchu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multicast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z wykorzystaniem IGMP v1, v2,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Powinno być zapewnione wsparcie następujących mechanizmów związanych z zapewnieniem jakości usług w sieci:</w:t>
      </w:r>
    </w:p>
    <w:p w:rsidR="00C45474" w:rsidRPr="00C45474" w:rsidRDefault="00C45474" w:rsidP="00C45474">
      <w:pPr>
        <w:widowControl w:val="0"/>
        <w:numPr>
          <w:ilvl w:val="1"/>
          <w:numId w:val="5"/>
        </w:numPr>
        <w:tabs>
          <w:tab w:val="left" w:pos="426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co najmniej czterech kolejek sprzętowych dla różnego rodzaju ruchu,</w:t>
      </w:r>
    </w:p>
    <w:p w:rsidR="00C45474" w:rsidRPr="00C45474" w:rsidRDefault="00C45474" w:rsidP="00C45474">
      <w:pPr>
        <w:widowControl w:val="0"/>
        <w:numPr>
          <w:ilvl w:val="1"/>
          <w:numId w:val="5"/>
        </w:numPr>
        <w:tabs>
          <w:tab w:val="left" w:pos="426"/>
        </w:tabs>
        <w:suppressAutoHyphens/>
        <w:spacing w:before="20" w:after="0" w:line="240" w:lineRule="auto"/>
        <w:ind w:left="426" w:hanging="42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co najmniej jednej kolejki ze statusem priorytetowym (bezwzględne pierwszeństwo obsługi),</w:t>
      </w:r>
    </w:p>
    <w:p w:rsidR="00C45474" w:rsidRPr="00C45474" w:rsidRDefault="00C45474" w:rsidP="00C45474">
      <w:pPr>
        <w:widowControl w:val="0"/>
        <w:numPr>
          <w:ilvl w:val="1"/>
          <w:numId w:val="5"/>
        </w:numPr>
        <w:tabs>
          <w:tab w:val="left" w:pos="426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dynamiczna alokacja pamięci dla kolejki, 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Zdalne zarządzanie poprzez protokoły SNMPv3 i SSH v2.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Komunikacja z serwerami uwierzytelnienia i autoryzacji za pośrednictwem protokołów RADIUS lub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TACACS+ dla kont administratorów urządzenia,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Wbudowane mechanizmy zapewniające przekazywanie kopii całego ruchu z każdego portu/portów na dowolny wskazany port dowolnego, dostarczonego przełącznika pracującego w tej samej sieci.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tabs>
          <w:tab w:val="left" w:pos="284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Montaż w szafie 19” (Wykonawca dostarczy komplet akcesoriów montażowych).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protokołów zapobiegających powstawaniu pętli: STP (IEEE 802.1d), RSTP (IEEE 802.1w), MSTP (IEEE 802.1s).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Filtrowanie ruchu przez listy kontroli dostępu (ACL) dołączane do każdego interfejsu z możliwością filtrowania ruchu wg: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protokołów,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zakresu adresów IP,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zakresu portów,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pól TOS, DSCP,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Precedence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kierunku ruchu pakietu,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fragmentacji ,</w:t>
      </w:r>
    </w:p>
    <w:p w:rsidR="00C45474" w:rsidRPr="00C45474" w:rsidRDefault="00C45474" w:rsidP="00C45474">
      <w:pPr>
        <w:widowControl w:val="0"/>
        <w:numPr>
          <w:ilvl w:val="1"/>
          <w:numId w:val="6"/>
        </w:numPr>
        <w:tabs>
          <w:tab w:val="left" w:pos="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ustanowionych połączeń.</w:t>
      </w:r>
    </w:p>
    <w:p w:rsidR="00C45474" w:rsidRPr="00C45474" w:rsidRDefault="00C45474" w:rsidP="00C45474">
      <w:pPr>
        <w:widowControl w:val="0"/>
        <w:numPr>
          <w:ilvl w:val="1"/>
          <w:numId w:val="4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Definiowanie VLAN-u dla połączeń głosowych i wideo, używanego do automatycznej konfiguracji telefonu IP (poprzez CDP) i usług QOS.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22.Zabezpieczenie portu przed podłączeniem nieautoryzowanych urządzeń, rozpoznawanych za pomocą adresu MAC, osobno dla VLAN-u głosowego (Voice) i VLAN-u  dla danych (Port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security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23.Wbudowany serwer DHCP.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24.Wbudowany klient DHCP.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25.Obsługa protokołu CDP (Cisco Discovery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Protocol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26.Obsługa protokołu LLDP-MED.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27.Routing statyczny.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28.Reflektometryczny test okablowania na każdym porcie Ethernet 10/100/1000Base-T, umożliwiający odczyt odległości od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switcha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jakiej występuje uszkodzenie kabla.</w:t>
      </w:r>
    </w:p>
    <w:p w:rsidR="00C45474" w:rsidRPr="00C45474" w:rsidRDefault="00C45474" w:rsidP="00C45474">
      <w:pPr>
        <w:widowControl w:val="0"/>
        <w:tabs>
          <w:tab w:val="left" w:pos="0"/>
        </w:tabs>
        <w:suppressAutoHyphens/>
        <w:spacing w:before="20" w:after="0" w:line="240" w:lineRule="auto"/>
        <w:ind w:left="375"/>
        <w:contextualSpacing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C45474" w:rsidRPr="00C45474" w:rsidRDefault="00C45474" w:rsidP="00C45474">
      <w:pPr>
        <w:tabs>
          <w:tab w:val="left" w:pos="0"/>
        </w:tabs>
        <w:spacing w:before="20"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bCs/>
          <w:sz w:val="20"/>
          <w:szCs w:val="20"/>
          <w:lang w:eastAsia="pl-PL"/>
        </w:rPr>
        <w:t>Switch dostępowy Typ 2 - 19 szt.</w:t>
      </w:r>
    </w:p>
    <w:p w:rsidR="00C45474" w:rsidRPr="00C45474" w:rsidRDefault="00C45474" w:rsidP="00C45474">
      <w:pPr>
        <w:tabs>
          <w:tab w:val="left" w:pos="0"/>
        </w:tabs>
        <w:spacing w:before="20"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 xml:space="preserve">Switch dostępowy bez POE – przełącznik Cisco </w:t>
      </w:r>
      <w:proofErr w:type="spellStart"/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>Catalyst</w:t>
      </w:r>
      <w:proofErr w:type="spellEnd"/>
      <w:r w:rsidRPr="00C45474">
        <w:rPr>
          <w:rFonts w:ascii="Arial" w:eastAsia="Calibri" w:hAnsi="Arial" w:cs="Arial"/>
          <w:b/>
          <w:sz w:val="20"/>
          <w:szCs w:val="20"/>
          <w:lang w:eastAsia="pl-PL"/>
        </w:rPr>
        <w:t xml:space="preserve"> 2960X-24TS-L</w:t>
      </w:r>
      <w:r w:rsidRPr="00C45474">
        <w:rPr>
          <w:rFonts w:ascii="Arial" w:eastAsia="Calibri" w:hAnsi="Arial" w:cs="Arial"/>
          <w:sz w:val="20"/>
          <w:szCs w:val="20"/>
          <w:lang w:eastAsia="pl-PL"/>
        </w:rPr>
        <w:t xml:space="preserve">  lub równoważny, spełniający poniższe wymagania: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protokołów IEEE 802.1Q, 802.1p, ICMP.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minimum 255 aktywnych VLAN-ów o numerach od 1 do 4094.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Przełączanie pakietów L3 (64 bajty) – minimum 65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Mpps</w:t>
      </w:r>
      <w:proofErr w:type="spellEnd"/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Zaimplementowane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mechanizmy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Quality Of Service (QOS)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bazujące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protokole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IEEE 802.1p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oraz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>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val="en-US" w:eastAsia="zh-CN" w:bidi="hi-IN"/>
        </w:rPr>
        <w:t xml:space="preserve"> Differentiated Services Code Point (DSCP).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Zdalne wykonywanie zmian konfiguracyjnych oraz nadzoru.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IPV4 i IPV6.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pełni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nieblokowalna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matryca przełączająca.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Zasilanie ze źródła prądu zmiennego 230V.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Dwadzieścia cztery (24) porty Ethernet 10/100/1000Base-T.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 mniej niż cztery (4) gniazda do podłączenia modułów światłowodowych SFP lub GBIC.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Zapewnienie wsparcia dla transmisji video poprzez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ethernet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obsługą tzw. ramek „jumbo” o wielkości nie mniejszej niż 9 tysięcy bajtów oraz możliwość obsługi ruchu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multicast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z wykorzystaniem IGMP v1, v2,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Powinno być zapewnione wsparcie następujących mechanizmów związanych z zapewnieniem jakości usług w sieci:</w:t>
      </w:r>
    </w:p>
    <w:p w:rsidR="00C45474" w:rsidRPr="00C45474" w:rsidRDefault="00C45474" w:rsidP="00C45474">
      <w:pPr>
        <w:widowControl w:val="0"/>
        <w:numPr>
          <w:ilvl w:val="1"/>
          <w:numId w:val="9"/>
        </w:numPr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co najmniej czterech kolejek sprzętowych dla różnego rodzaju ruchu,</w:t>
      </w:r>
    </w:p>
    <w:p w:rsidR="00C45474" w:rsidRPr="00C45474" w:rsidRDefault="00C45474" w:rsidP="00C45474">
      <w:pPr>
        <w:widowControl w:val="0"/>
        <w:numPr>
          <w:ilvl w:val="1"/>
          <w:numId w:val="9"/>
        </w:numPr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co najmniej jednej kolejki ze statusem priorytetowym (bezwzględne pierwszeństwo obsługi),</w:t>
      </w:r>
    </w:p>
    <w:p w:rsidR="00C45474" w:rsidRPr="00C45474" w:rsidRDefault="00C45474" w:rsidP="00C45474">
      <w:pPr>
        <w:widowControl w:val="0"/>
        <w:numPr>
          <w:ilvl w:val="1"/>
          <w:numId w:val="9"/>
        </w:numPr>
        <w:suppressAutoHyphens/>
        <w:spacing w:before="20" w:after="0" w:line="240" w:lineRule="auto"/>
        <w:ind w:left="567" w:hanging="567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dynamiczna alokacja pamięci dla kolejki, 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Zdalne zarządzanie poprzez protokoły SNMPv3 i SSH v2.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Komunikacja z serwerami uwierzytelnienia i autoryzacji za pośrednictwem protokołów RADIUS lub TACACS+ dla kont administratorów urządzenia,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Wbudowane mechanizmy zapewniające przekazywanie kopii całego ruchu z każdego portu/portów na dowolny wskazany port dowolnego, dostarczonego przełącznika pracującego w tej samej sieci.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Montaż w szafie 19” (Wykonawca dostarczy komplet akcesoriów montażowych).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protokołów zapobiegających powstawaniu pętli: STP (IEEE 802.1d), RSTP (IEEE 802.1w), MSTP (IEEE 802.1s).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Filtrowanie ruchu przez listy kontroli dostępu (ACL) dołączane do każdego interfejsu z możliwością filtrowania ruchu wg: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protokołów,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zakresu adresów IP,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zakresu portów,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pól TOS, DSCP,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Precedence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kierunku ruchu pakietu,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fragmentacji,</w:t>
      </w:r>
    </w:p>
    <w:p w:rsidR="00C45474" w:rsidRPr="00C45474" w:rsidRDefault="00C45474" w:rsidP="00C45474">
      <w:pPr>
        <w:widowControl w:val="0"/>
        <w:numPr>
          <w:ilvl w:val="1"/>
          <w:numId w:val="10"/>
        </w:numPr>
        <w:suppressAutoHyphens/>
        <w:spacing w:before="20" w:after="0" w:line="240" w:lineRule="auto"/>
        <w:ind w:left="567" w:hanging="576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ustanowionych połączeń.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Definiowanie VLAN-u dla połączeń głosowych i wideo, używanego do automatycznej konfiguracji telefonu IP (poprzez CDP) i usług QOS.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Zabezpieczenie portu przed podłączeniem nieautoryzowanych urządzeń, rozpoznawanych za pomocą adresu MAC, osobno dla VLAN-u głosowego (Voice) i VLAN-u  dla danych (Port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security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Wbudowany serwer DHCP.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Wbudowany klient DHCP.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Obsługa protokołu CDP (Cisco Discovery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Protocol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).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Obsługa protokołu LLDP-MED.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tabs>
          <w:tab w:val="left" w:pos="0"/>
          <w:tab w:val="left" w:pos="284"/>
          <w:tab w:val="left" w:pos="1080"/>
        </w:tabs>
        <w:suppressAutoHyphens/>
        <w:spacing w:before="20" w:after="0" w:line="240" w:lineRule="auto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Routing statyczny.</w:t>
      </w:r>
    </w:p>
    <w:p w:rsidR="00C45474" w:rsidRPr="00C45474" w:rsidRDefault="00C45474" w:rsidP="00C45474">
      <w:pPr>
        <w:widowControl w:val="0"/>
        <w:numPr>
          <w:ilvl w:val="1"/>
          <w:numId w:val="7"/>
        </w:numPr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Reflektometryczny test okablowania na każdym porcie Ethernet 10/100/1000Base-T, umożliwiający odczyt odległości od </w:t>
      </w:r>
      <w:proofErr w:type="spellStart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switcha</w:t>
      </w:r>
      <w:proofErr w:type="spellEnd"/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jakiej występuje uszkodzenie kabla.</w:t>
      </w:r>
    </w:p>
    <w:p w:rsidR="00C45474" w:rsidRPr="00C45474" w:rsidRDefault="00C45474" w:rsidP="00C45474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uppressAutoHyphens/>
        <w:spacing w:after="0" w:line="240" w:lineRule="auto"/>
        <w:rPr>
          <w:rFonts w:ascii="Arial" w:eastAsia="Calibri" w:hAnsi="Arial" w:cs="Arial"/>
          <w:u w:val="single"/>
        </w:rPr>
      </w:pPr>
      <w:r w:rsidRPr="00C45474">
        <w:rPr>
          <w:rFonts w:ascii="Arial" w:eastAsia="Calibri" w:hAnsi="Arial" w:cs="Arial"/>
          <w:u w:val="single"/>
        </w:rPr>
        <w:t>Wymagania wspólne dotyczące urządzeń:</w:t>
      </w:r>
    </w:p>
    <w:p w:rsidR="00C45474" w:rsidRPr="00C45474" w:rsidRDefault="00C45474" w:rsidP="00C45474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Zamawiający wymaga aby dostarczone urządzenia i oprogramowanie pochodziły z autoryzowanego kanału sprzedaży producenta na rynek UE.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2.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Dostarczone urządzenia muszą posiadać przez cały okres trwania umowy wsparcie producenta.</w:t>
      </w:r>
    </w:p>
    <w:p w:rsidR="00C45474" w:rsidRPr="00C45474" w:rsidRDefault="00C45474" w:rsidP="00C45474">
      <w:pPr>
        <w:widowControl w:val="0"/>
        <w:suppressAutoHyphens/>
        <w:spacing w:before="20" w:after="0" w:line="240" w:lineRule="auto"/>
        <w:ind w:left="284" w:hanging="284"/>
        <w:contextualSpacing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3. </w:t>
      </w:r>
      <w:r w:rsidRPr="00C4547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>Całość dostarczanych urządzeń musi być nowa (wyprodukowana nie wcześniej niż 12 miesięcy przed dostawą), nieużywana we wcześniejszych projektach. Przy dostawie Wykonawca musi dostarczyć oświadczenie o spełnieniu powyższego wymogu. Oświadczenie musi zawierać miesiąc oraz rok produkcji sprzętu.</w:t>
      </w:r>
    </w:p>
    <w:p w:rsidR="00C45474" w:rsidRPr="00C45474" w:rsidRDefault="00C45474" w:rsidP="00C45474">
      <w:pPr>
        <w:spacing w:after="0" w:line="26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4. Standardowe wyposażenie (kabel konsolowy, uchwyty do montażu w szafie </w:t>
      </w:r>
      <w:proofErr w:type="spellStart"/>
      <w:r w:rsidRPr="00C45474">
        <w:rPr>
          <w:rFonts w:ascii="Arial" w:eastAsia="Times New Roman" w:hAnsi="Arial" w:cs="Arial"/>
          <w:sz w:val="20"/>
          <w:szCs w:val="20"/>
          <w:lang w:eastAsia="pl-PL"/>
        </w:rPr>
        <w:t>Rack</w:t>
      </w:r>
      <w:proofErr w:type="spellEnd"/>
      <w:r w:rsidRPr="00C45474">
        <w:rPr>
          <w:rFonts w:ascii="Arial" w:eastAsia="Times New Roman" w:hAnsi="Arial" w:cs="Arial"/>
          <w:sz w:val="20"/>
          <w:szCs w:val="20"/>
          <w:lang w:eastAsia="pl-PL"/>
        </w:rPr>
        <w:t>, śruby, dokumentacja, itp.) dostarczone będzie przez Wykonawcę wraz z urządzeniami.</w:t>
      </w:r>
    </w:p>
    <w:p w:rsidR="00C45474" w:rsidRPr="00C45474" w:rsidRDefault="00C45474" w:rsidP="00C45474">
      <w:pPr>
        <w:spacing w:after="0" w:line="22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spacing w:after="0" w:line="27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>5. Zamawiający wymaga, aby dostarczone oprogramowanie było oprogramowaniem w wersji aktualnej. Dotyczy to całego okresu umowy.</w:t>
      </w:r>
    </w:p>
    <w:p w:rsidR="00C45474" w:rsidRPr="00C45474" w:rsidRDefault="00C45474" w:rsidP="00C45474">
      <w:pPr>
        <w:spacing w:after="0" w:line="19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5474" w:rsidRPr="00C45474" w:rsidRDefault="00C45474" w:rsidP="00C45474">
      <w:pPr>
        <w:tabs>
          <w:tab w:val="left" w:pos="283"/>
        </w:tabs>
        <w:spacing w:after="0" w:line="264" w:lineRule="auto"/>
        <w:ind w:right="20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45474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Pr="00C45474">
        <w:rPr>
          <w:rFonts w:ascii="Arial" w:eastAsia="Times New Roman" w:hAnsi="Arial" w:cs="Arial"/>
          <w:sz w:val="20"/>
          <w:szCs w:val="20"/>
          <w:lang w:eastAsia="pl-PL"/>
        </w:rPr>
        <w:tab/>
        <w:t>Wykonawca będzie dysponował licencjami na użytkowanie dostarczonego oprogramowania.</w:t>
      </w:r>
    </w:p>
    <w:p w:rsidR="00BC34DF" w:rsidRDefault="00BC34DF">
      <w:bookmarkStart w:id="0" w:name="_GoBack"/>
      <w:bookmarkEnd w:id="0"/>
    </w:p>
    <w:sectPr w:rsidR="00BC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D"/>
    <w:multiLevelType w:val="multilevel"/>
    <w:tmpl w:val="0000004D"/>
    <w:lvl w:ilvl="0">
      <w:start w:val="1"/>
      <w:numFmt w:val="decimal"/>
      <w:lvlText w:val="%1)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133C190B"/>
    <w:multiLevelType w:val="multilevel"/>
    <w:tmpl w:val="133C190B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7" w:hanging="567"/>
      </w:pPr>
      <w:rPr>
        <w:rFonts w:cs="Times New Roman" w:hint="default"/>
        <w:lang w:val="pl-PL"/>
      </w:rPr>
    </w:lvl>
    <w:lvl w:ilvl="2">
      <w:start w:val="1"/>
      <w:numFmt w:val="lowerLetter"/>
      <w:lvlText w:val="%3."/>
      <w:lvlJc w:val="left"/>
      <w:pPr>
        <w:ind w:left="1474" w:hanging="45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70851FF"/>
    <w:multiLevelType w:val="multilevel"/>
    <w:tmpl w:val="F3A0033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040CF"/>
    <w:multiLevelType w:val="multilevel"/>
    <w:tmpl w:val="259E6EA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29420EEF"/>
    <w:multiLevelType w:val="multilevel"/>
    <w:tmpl w:val="29420EEF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1E47CE"/>
    <w:multiLevelType w:val="multilevel"/>
    <w:tmpl w:val="581E47C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BB0CBE"/>
    <w:multiLevelType w:val="multilevel"/>
    <w:tmpl w:val="0E16E5C6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 w15:restartNumberingAfterBreak="0">
    <w:nsid w:val="5B2BADFC"/>
    <w:multiLevelType w:val="multilevel"/>
    <w:tmpl w:val="5B2B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B2BAE25"/>
    <w:multiLevelType w:val="multilevel"/>
    <w:tmpl w:val="5B2BAE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DC37C6"/>
    <w:multiLevelType w:val="multilevel"/>
    <w:tmpl w:val="C324F304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35"/>
    <w:rsid w:val="004E0435"/>
    <w:rsid w:val="00BC34DF"/>
    <w:rsid w:val="00C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C7DF-140D-44EC-899A-8235B5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4050</Words>
  <Characters>24304</Characters>
  <Application>Microsoft Office Word</Application>
  <DocSecurity>0</DocSecurity>
  <Lines>202</Lines>
  <Paragraphs>56</Paragraphs>
  <ScaleCrop>false</ScaleCrop>
  <Company/>
  <LinksUpToDate>false</LinksUpToDate>
  <CharactersWithSpaces>28298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2019-03-15T10:01:00Z</dcterms:created>
  <dcterms:modified xsi:type="dcterms:W3CDTF">2019-03-15T10:01:00Z</dcterms:modified>
</cp:coreProperties>
</file>