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257E6C">
            <w:pPr>
              <w:rPr>
                <w:rFonts w:cs="Times New Roman"/>
                <w:b/>
                <w:sz w:val="21"/>
                <w:szCs w:val="21"/>
              </w:rPr>
            </w:pPr>
            <w:bookmarkStart w:id="0" w:name="_Hlk12607021"/>
            <w:r w:rsidRPr="00483ED3">
              <w:rPr>
                <w:rFonts w:cs="Times New Roman"/>
                <w:b/>
                <w:sz w:val="21"/>
                <w:szCs w:val="21"/>
              </w:rPr>
              <w:t>ZP/220/</w:t>
            </w:r>
            <w:r w:rsidR="00257E6C">
              <w:rPr>
                <w:rFonts w:cs="Times New Roman"/>
                <w:b/>
                <w:sz w:val="21"/>
                <w:szCs w:val="21"/>
              </w:rPr>
              <w:t>85</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257E6C"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Pr="00D72198">
        <w:rPr>
          <w:rFonts w:ascii="Calibri" w:hAnsi="Calibri" w:cs="Calibri"/>
          <w:bCs/>
          <w:i/>
          <w:sz w:val="19"/>
          <w:szCs w:val="19"/>
        </w:rPr>
        <w:t>2 sztuk inkubatorów hybrydowych, 1 sztuki inkubatora hybrydowego transportowego oraz 10 sztuk inkubatorów zamkniętych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257E6C" w:rsidRPr="006D2F2C" w:rsidRDefault="00257E6C" w:rsidP="00257E6C">
      <w:pPr>
        <w:spacing w:line="240" w:lineRule="auto"/>
        <w:contextualSpacing/>
        <w:jc w:val="both"/>
        <w:rPr>
          <w:rFonts w:cstheme="minorHAnsi"/>
          <w:b/>
          <w:bCs/>
          <w:sz w:val="19"/>
          <w:szCs w:val="19"/>
        </w:rPr>
      </w:pPr>
      <w:r w:rsidRPr="006D2F2C">
        <w:rPr>
          <w:rFonts w:cstheme="minorHAnsi"/>
          <w:b/>
          <w:bCs/>
          <w:sz w:val="19"/>
          <w:szCs w:val="19"/>
        </w:rPr>
        <w:t xml:space="preserve">Pytanie 1, </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Czy zamawiający wyrazi zgodę na wyodrębnienie 10 szt. inkubatorów zamkniętych celem możliwości lepszego wyboru  spośród istniejących na rynku inkubatorów zamkniętych o parametrach wskazanych przez Zamawiającego?</w:t>
      </w:r>
    </w:p>
    <w:p w:rsidR="00257E6C" w:rsidRPr="006D2F2C" w:rsidRDefault="00257E6C" w:rsidP="00257E6C">
      <w:pPr>
        <w:spacing w:line="240" w:lineRule="auto"/>
        <w:jc w:val="both"/>
        <w:rPr>
          <w:rFonts w:cstheme="minorHAnsi"/>
          <w:b/>
          <w:bCs/>
          <w:sz w:val="19"/>
          <w:szCs w:val="19"/>
        </w:rPr>
      </w:pPr>
      <w:r w:rsidRPr="006D2F2C">
        <w:rPr>
          <w:rFonts w:cstheme="minorHAnsi"/>
          <w:b/>
          <w:sz w:val="19"/>
          <w:szCs w:val="19"/>
        </w:rPr>
        <w:t>Odpowiedź:</w:t>
      </w:r>
      <w:r w:rsidRPr="006D2F2C">
        <w:rPr>
          <w:rFonts w:cstheme="minorHAnsi"/>
          <w:sz w:val="19"/>
          <w:szCs w:val="19"/>
        </w:rPr>
        <w:t xml:space="preserve"> Zamawiający nie dopuszcza składania ofert częściowych. W związku ze specyfiką Kliniki Patologii Noworodka i ciężkimi przypadkami tam przebywającymi, Zamawiający nie może pozwolić na przebywanie dużej ilości osób z zewnątrz (np. dostawców lub serwisantów), gdyż grozi to powikłaniami małych pacjentów.</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2,</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Ad 1.4 Czy zamawiający dopuści wymiary materacyka: 39x 62cm.</w:t>
      </w:r>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w:t>
      </w:r>
      <w:r w:rsidRPr="006D2F2C">
        <w:rPr>
          <w:rFonts w:eastAsia="Times New Roman" w:cstheme="minorHAnsi"/>
          <w:sz w:val="19"/>
          <w:szCs w:val="19"/>
          <w:lang w:eastAsia="pl-PL"/>
        </w:rPr>
        <w:t>Zgodnie z SWZ</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3,</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Ad 1.9 Czy zamawiający dopuści inkubator bez możliwości wysuwania materacyka poza obrys inkubator, jednak z możliwości uchylenia całej kopuły inkubatora  na zawiasach co zapewnia większa swobodę pracy z pacjentem jednocześnie ograniczając możliwość upadku dziecka (jak na obrazku poglądowym).</w:t>
      </w:r>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w:t>
      </w:r>
      <w:r w:rsidRPr="006D2F2C">
        <w:rPr>
          <w:rFonts w:eastAsia="Times New Roman" w:cstheme="minorHAnsi"/>
          <w:sz w:val="19"/>
          <w:szCs w:val="19"/>
          <w:lang w:eastAsia="pl-PL"/>
        </w:rPr>
        <w:t>Zgodnie z SWZ</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4,</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Ad 1.11 Czy zamawiający dopuści elektroniczną regulację nachylenia materacyka?</w:t>
      </w:r>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w:t>
      </w:r>
      <w:r w:rsidRPr="006D2F2C">
        <w:rPr>
          <w:rFonts w:eastAsia="Times New Roman" w:cstheme="minorHAnsi"/>
          <w:sz w:val="19"/>
          <w:szCs w:val="19"/>
          <w:lang w:eastAsia="pl-PL"/>
        </w:rPr>
        <w:t>Zgodnie z SWZ. Manualna regulacja jest bezpieczniejsza w użytkowaniu</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5,</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Ad 1.17 Czy zamawiający dopuści zakres regulacji temperatury powietrza w zakresie minimum od 25° do 39°</w:t>
      </w:r>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Zamawiający d</w:t>
      </w:r>
      <w:r w:rsidRPr="006D2F2C">
        <w:rPr>
          <w:rFonts w:eastAsia="Times New Roman" w:cstheme="minorHAnsi"/>
          <w:sz w:val="19"/>
          <w:szCs w:val="19"/>
          <w:lang w:eastAsia="pl-PL"/>
        </w:rPr>
        <w:t xml:space="preserve">opuszcza, </w:t>
      </w:r>
      <w:r w:rsidRPr="006D2F2C">
        <w:rPr>
          <w:rFonts w:cstheme="minorHAnsi"/>
          <w:sz w:val="19"/>
          <w:szCs w:val="19"/>
        </w:rPr>
        <w:t xml:space="preserve">ale </w:t>
      </w:r>
      <w:r w:rsidRPr="006D2F2C">
        <w:rPr>
          <w:rFonts w:eastAsia="Times New Roman" w:cstheme="minorHAnsi"/>
          <w:sz w:val="19"/>
          <w:szCs w:val="19"/>
          <w:lang w:eastAsia="pl-PL"/>
        </w:rPr>
        <w:t>nie wymaga</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6,</w:t>
      </w:r>
    </w:p>
    <w:p w:rsidR="00257E6C" w:rsidRPr="006D2F2C" w:rsidRDefault="00257E6C" w:rsidP="00257E6C">
      <w:pPr>
        <w:spacing w:line="240" w:lineRule="auto"/>
        <w:jc w:val="both"/>
        <w:rPr>
          <w:rFonts w:cstheme="minorHAnsi"/>
          <w:b/>
          <w:sz w:val="19"/>
          <w:szCs w:val="19"/>
        </w:rPr>
      </w:pPr>
      <w:r w:rsidRPr="006D2F2C">
        <w:rPr>
          <w:rFonts w:eastAsia="Times New Roman" w:cstheme="minorHAnsi"/>
          <w:sz w:val="19"/>
          <w:szCs w:val="19"/>
          <w:lang w:eastAsia="pl-PL"/>
        </w:rPr>
        <w:t>Ad 1.18 Czy zamawiający dopuści automatyczne utrzymywanie zadanej temperatury skóry dziecka w zakresie minimum od 35° do 37,5°</w:t>
      </w:r>
    </w:p>
    <w:p w:rsidR="00257E6C" w:rsidRPr="00257E6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w:t>
      </w:r>
      <w:r w:rsidRPr="006D2F2C">
        <w:rPr>
          <w:rFonts w:eastAsia="Times New Roman" w:cstheme="minorHAnsi"/>
          <w:sz w:val="19"/>
          <w:szCs w:val="19"/>
          <w:lang w:eastAsia="pl-PL"/>
        </w:rPr>
        <w:t>Zgodnie z SWZ</w:t>
      </w:r>
      <w:r w:rsidRPr="006D2F2C">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lastRenderedPageBreak/>
        <w:t>Pytanie 7,</w:t>
      </w:r>
    </w:p>
    <w:p w:rsidR="00257E6C" w:rsidRPr="006D2F2C" w:rsidRDefault="00257E6C" w:rsidP="00257E6C">
      <w:pPr>
        <w:spacing w:line="240" w:lineRule="auto"/>
        <w:jc w:val="both"/>
        <w:rPr>
          <w:rFonts w:cstheme="minorHAnsi"/>
          <w:b/>
          <w:sz w:val="19"/>
          <w:szCs w:val="19"/>
        </w:rPr>
      </w:pPr>
      <w:r w:rsidRPr="006D2F2C">
        <w:rPr>
          <w:rFonts w:eastAsia="Times New Roman" w:cstheme="minorHAnsi"/>
          <w:sz w:val="19"/>
          <w:szCs w:val="19"/>
          <w:lang w:eastAsia="pl-PL"/>
        </w:rPr>
        <w:t>Ad 1.24 Czy zamawiający dopuści inkubator z funkcją utrzymywania warunków wewnątrz inkubatora bez dziecka, z wyłączonymi alarmami, bez licznika czasu dziecka poza inkubatorem?</w:t>
      </w:r>
      <w:r w:rsidRPr="006D2F2C">
        <w:rPr>
          <w:rFonts w:cstheme="minorHAnsi"/>
          <w:b/>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Zamawiający d</w:t>
      </w:r>
      <w:r w:rsidRPr="006D2F2C">
        <w:rPr>
          <w:rFonts w:eastAsia="Times New Roman" w:cstheme="minorHAnsi"/>
          <w:sz w:val="19"/>
          <w:szCs w:val="19"/>
          <w:lang w:eastAsia="pl-PL"/>
        </w:rPr>
        <w:t xml:space="preserve">opuszcza, </w:t>
      </w:r>
      <w:r w:rsidRPr="006D2F2C">
        <w:rPr>
          <w:rFonts w:cstheme="minorHAnsi"/>
          <w:sz w:val="19"/>
          <w:szCs w:val="19"/>
        </w:rPr>
        <w:t xml:space="preserve">ale </w:t>
      </w:r>
      <w:r w:rsidRPr="006D2F2C">
        <w:rPr>
          <w:rFonts w:eastAsia="Times New Roman" w:cstheme="minorHAnsi"/>
          <w:sz w:val="19"/>
          <w:szCs w:val="19"/>
          <w:lang w:eastAsia="pl-PL"/>
        </w:rPr>
        <w:t>nie wymaga</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8,</w:t>
      </w:r>
    </w:p>
    <w:p w:rsidR="00257E6C" w:rsidRPr="006D2F2C" w:rsidRDefault="00257E6C" w:rsidP="00257E6C">
      <w:pPr>
        <w:spacing w:line="240" w:lineRule="auto"/>
        <w:jc w:val="both"/>
        <w:rPr>
          <w:rFonts w:cstheme="minorHAnsi"/>
          <w:sz w:val="19"/>
          <w:szCs w:val="19"/>
        </w:rPr>
      </w:pPr>
      <w:r w:rsidRPr="006D2F2C">
        <w:rPr>
          <w:rFonts w:eastAsia="Times New Roman" w:cstheme="minorHAnsi"/>
          <w:sz w:val="19"/>
          <w:szCs w:val="19"/>
          <w:lang w:eastAsia="pl-PL"/>
        </w:rPr>
        <w:t>Ad 2.3 Czy zamawiający dopuści szafkę na akcesoria, zintegrowana w podstawie składająca się z jednej dużej szuflady z możliwością podzielenia wewnętrznej przestrzeni.</w:t>
      </w:r>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w:t>
      </w:r>
      <w:r w:rsidRPr="006D2F2C">
        <w:rPr>
          <w:rFonts w:eastAsia="Times New Roman" w:cstheme="minorHAnsi"/>
          <w:sz w:val="19"/>
          <w:szCs w:val="19"/>
          <w:lang w:eastAsia="pl-PL"/>
        </w:rPr>
        <w:t>Zgodnie z SWZ</w:t>
      </w:r>
      <w:r>
        <w:rPr>
          <w:rFonts w:cstheme="minorHAnsi"/>
          <w:sz w:val="19"/>
          <w:szCs w:val="19"/>
        </w:rPr>
        <w:t>.</w:t>
      </w:r>
    </w:p>
    <w:p w:rsidR="00257E6C" w:rsidRPr="009A30A9" w:rsidRDefault="00257E6C" w:rsidP="00257E6C">
      <w:pPr>
        <w:spacing w:line="240" w:lineRule="auto"/>
        <w:jc w:val="both"/>
        <w:rPr>
          <w:rFonts w:cstheme="minorHAnsi"/>
          <w:sz w:val="19"/>
          <w:szCs w:val="19"/>
        </w:rPr>
      </w:pPr>
      <w:r w:rsidRPr="006D2F2C">
        <w:rPr>
          <w:rFonts w:cstheme="minorHAnsi"/>
          <w:b/>
          <w:bCs/>
          <w:sz w:val="19"/>
          <w:szCs w:val="19"/>
        </w:rPr>
        <w:t>Pytanie 9,</w:t>
      </w:r>
      <w:bookmarkStart w:id="3" w:name="OLE_LINK22"/>
    </w:p>
    <w:p w:rsidR="00257E6C" w:rsidRPr="009A30A9" w:rsidRDefault="00257E6C" w:rsidP="00257E6C">
      <w:pPr>
        <w:autoSpaceDE w:val="0"/>
        <w:autoSpaceDN w:val="0"/>
        <w:adjustRightInd w:val="0"/>
        <w:spacing w:line="240" w:lineRule="auto"/>
        <w:rPr>
          <w:rFonts w:cstheme="minorHAnsi"/>
          <w:color w:val="000000"/>
          <w:sz w:val="19"/>
          <w:szCs w:val="19"/>
        </w:rPr>
      </w:pPr>
      <w:r w:rsidRPr="009A30A9">
        <w:rPr>
          <w:rFonts w:cstheme="minorHAnsi"/>
          <w:color w:val="000000"/>
          <w:sz w:val="19"/>
          <w:szCs w:val="19"/>
        </w:rPr>
        <w:t xml:space="preserve">III Inkubator zamknięty </w:t>
      </w:r>
    </w:p>
    <w:p w:rsidR="00257E6C" w:rsidRPr="009A30A9" w:rsidRDefault="00257E6C" w:rsidP="00257E6C">
      <w:pPr>
        <w:autoSpaceDE w:val="0"/>
        <w:autoSpaceDN w:val="0"/>
        <w:adjustRightInd w:val="0"/>
        <w:spacing w:line="240" w:lineRule="auto"/>
        <w:rPr>
          <w:rFonts w:cstheme="minorHAnsi"/>
          <w:color w:val="000000"/>
          <w:sz w:val="19"/>
          <w:szCs w:val="19"/>
        </w:rPr>
      </w:pPr>
      <w:r w:rsidRPr="009A30A9">
        <w:rPr>
          <w:rFonts w:cstheme="minorHAnsi"/>
          <w:color w:val="000000"/>
          <w:sz w:val="19"/>
          <w:szCs w:val="19"/>
        </w:rPr>
        <w:t xml:space="preserve">Prosimy o dopuszczenie: </w:t>
      </w:r>
    </w:p>
    <w:p w:rsidR="00257E6C" w:rsidRPr="009A30A9" w:rsidRDefault="00257E6C" w:rsidP="00257E6C">
      <w:pPr>
        <w:autoSpaceDE w:val="0"/>
        <w:autoSpaceDN w:val="0"/>
        <w:adjustRightInd w:val="0"/>
        <w:spacing w:line="240" w:lineRule="auto"/>
        <w:rPr>
          <w:rFonts w:cstheme="minorHAnsi"/>
          <w:color w:val="000000"/>
          <w:sz w:val="19"/>
          <w:szCs w:val="19"/>
        </w:rPr>
      </w:pPr>
      <w:r w:rsidRPr="009A30A9">
        <w:rPr>
          <w:rFonts w:cstheme="minorHAnsi"/>
          <w:color w:val="000000"/>
          <w:sz w:val="19"/>
          <w:szCs w:val="19"/>
        </w:rPr>
        <w:t>1.1. Nachylenie materaca poza przedziałem pacjenta, pokrętła regulacji nachylenia materaca po bokach inkubatora.</w:t>
      </w:r>
      <w:r w:rsidRPr="006D2F2C">
        <w:rPr>
          <w:rFonts w:cstheme="minorHAnsi"/>
          <w:color w:val="000000"/>
          <w:sz w:val="19"/>
          <w:szCs w:val="19"/>
        </w:rPr>
        <w:t xml:space="preserve"> </w:t>
      </w:r>
      <w:r w:rsidRPr="009A30A9">
        <w:rPr>
          <w:rFonts w:cstheme="minorHAnsi"/>
          <w:color w:val="000000"/>
          <w:sz w:val="19"/>
          <w:szCs w:val="19"/>
        </w:rPr>
        <w:t xml:space="preserve">Sterowanie nachyleniem elektroniczne za pomocą ekranu dotykowego. </w:t>
      </w:r>
    </w:p>
    <w:p w:rsidR="00257E6C" w:rsidRPr="006D2F2C" w:rsidRDefault="00257E6C" w:rsidP="00257E6C">
      <w:pPr>
        <w:spacing w:line="240" w:lineRule="auto"/>
        <w:jc w:val="both"/>
        <w:rPr>
          <w:rFonts w:cstheme="minorHAnsi"/>
          <w:sz w:val="19"/>
          <w:szCs w:val="19"/>
        </w:rPr>
      </w:pPr>
      <w:r w:rsidRPr="006D2F2C">
        <w:rPr>
          <w:rFonts w:cstheme="minorHAnsi"/>
          <w:color w:val="000000"/>
          <w:sz w:val="19"/>
          <w:szCs w:val="19"/>
        </w:rPr>
        <w:t>Pozostałe parametry zgodnie z SWZ.</w:t>
      </w:r>
      <w:bookmarkEnd w:id="3"/>
      <w:r w:rsidRPr="006D2F2C">
        <w:rPr>
          <w:rFonts w:cstheme="minorHAnsi"/>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Zgodnie z SWZ. Manualna regulacja jest bezpieczniejsza w użytkowaniu</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10,</w:t>
      </w:r>
    </w:p>
    <w:p w:rsidR="00257E6C" w:rsidRPr="006D2F2C" w:rsidRDefault="00257E6C" w:rsidP="00257E6C">
      <w:pPr>
        <w:spacing w:line="240" w:lineRule="auto"/>
        <w:jc w:val="both"/>
        <w:rPr>
          <w:rFonts w:cstheme="minorHAnsi"/>
          <w:b/>
          <w:sz w:val="19"/>
          <w:szCs w:val="19"/>
        </w:rPr>
      </w:pPr>
      <w:r w:rsidRPr="006D2F2C">
        <w:rPr>
          <w:rFonts w:cstheme="minorHAnsi"/>
          <w:sz w:val="19"/>
          <w:szCs w:val="19"/>
        </w:rPr>
        <w:t>Prosimy Zamawiającego o doprecyzowanie z jakich wtyków do gniazd korzysta szpital?</w:t>
      </w:r>
      <w:r w:rsidRPr="006D2F2C">
        <w:rPr>
          <w:rFonts w:cstheme="minorHAnsi"/>
          <w:b/>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Typ AGA</w:t>
      </w:r>
      <w:r>
        <w:rPr>
          <w:rFonts w:cstheme="minorHAnsi"/>
          <w:sz w:val="19"/>
          <w:szCs w:val="19"/>
        </w:rPr>
        <w:t>.</w:t>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11,</w:t>
      </w:r>
      <w:r w:rsidRPr="006D2F2C">
        <w:rPr>
          <w:rFonts w:cstheme="minorHAnsi"/>
          <w:sz w:val="19"/>
          <w:szCs w:val="19"/>
        </w:rPr>
        <w:t xml:space="preserve"> Projekt umowy</w:t>
      </w:r>
    </w:p>
    <w:p w:rsidR="00257E6C" w:rsidRPr="006D2F2C" w:rsidRDefault="00257E6C" w:rsidP="00257E6C">
      <w:pPr>
        <w:spacing w:line="240" w:lineRule="auto"/>
        <w:jc w:val="both"/>
        <w:rPr>
          <w:rFonts w:cstheme="minorHAnsi"/>
          <w:sz w:val="19"/>
          <w:szCs w:val="19"/>
        </w:rPr>
      </w:pPr>
      <w:r w:rsidRPr="006D2F2C">
        <w:rPr>
          <w:rFonts w:cstheme="minorHAnsi"/>
          <w:sz w:val="19"/>
          <w:szCs w:val="19"/>
        </w:rPr>
        <w:t>§ 11 ust. 2 pkt 1 – Czy Zamawiający wyrazi zgodę na zmniejszenie kar z 5% do 0,2%?</w:t>
      </w:r>
    </w:p>
    <w:p w:rsidR="00257E6C" w:rsidRPr="006D2F2C" w:rsidRDefault="00257E6C" w:rsidP="00257E6C">
      <w:pPr>
        <w:tabs>
          <w:tab w:val="left" w:pos="3230"/>
        </w:tabs>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Zamawiający nie wyraża zgody</w:t>
      </w:r>
      <w:r>
        <w:rPr>
          <w:rFonts w:cstheme="minorHAnsi"/>
          <w:sz w:val="19"/>
          <w:szCs w:val="19"/>
        </w:rPr>
        <w:t>.</w:t>
      </w:r>
      <w:r>
        <w:rPr>
          <w:rFonts w:cstheme="minorHAnsi"/>
          <w:sz w:val="19"/>
          <w:szCs w:val="19"/>
        </w:rPr>
        <w:tab/>
      </w:r>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12,</w:t>
      </w:r>
      <w:r w:rsidRPr="006D2F2C">
        <w:rPr>
          <w:rFonts w:cstheme="minorHAnsi"/>
          <w:sz w:val="19"/>
          <w:szCs w:val="19"/>
        </w:rPr>
        <w:t xml:space="preserve"> Projekt umowy</w:t>
      </w:r>
    </w:p>
    <w:p w:rsidR="00257E6C" w:rsidRPr="006D2F2C" w:rsidRDefault="00257E6C" w:rsidP="00257E6C">
      <w:pPr>
        <w:spacing w:line="240" w:lineRule="auto"/>
        <w:jc w:val="both"/>
        <w:rPr>
          <w:rFonts w:cstheme="minorHAnsi"/>
          <w:sz w:val="19"/>
          <w:szCs w:val="19"/>
        </w:rPr>
      </w:pPr>
      <w:r w:rsidRPr="006D2F2C">
        <w:rPr>
          <w:rFonts w:cstheme="minorHAnsi"/>
          <w:sz w:val="19"/>
          <w:szCs w:val="19"/>
        </w:rPr>
        <w:t>§ 11 ust. 2 pkt 9 – Prosimy o wyjaśnienie zasadności wprowadzonego zapisu.</w:t>
      </w:r>
    </w:p>
    <w:p w:rsidR="00257E6C" w:rsidRPr="00257E6C" w:rsidRDefault="00257E6C" w:rsidP="00257E6C">
      <w:pPr>
        <w:spacing w:line="240" w:lineRule="auto"/>
        <w:jc w:val="both"/>
        <w:rPr>
          <w:rFonts w:cstheme="minorHAnsi"/>
          <w:bCs/>
          <w:sz w:val="19"/>
          <w:szCs w:val="19"/>
        </w:rPr>
      </w:pPr>
      <w:r w:rsidRPr="006D2F2C">
        <w:rPr>
          <w:rFonts w:cstheme="minorHAnsi"/>
          <w:b/>
          <w:sz w:val="19"/>
          <w:szCs w:val="19"/>
        </w:rPr>
        <w:t>Odpowiedź:</w:t>
      </w:r>
      <w:r w:rsidRPr="006D2F2C">
        <w:rPr>
          <w:rFonts w:cstheme="minorHAnsi"/>
          <w:sz w:val="19"/>
          <w:szCs w:val="19"/>
        </w:rPr>
        <w:t xml:space="preserve">  Zamawiający pozostaje przy dotychczasowym brzmieniu projektowanych postanowień umownych.</w:t>
      </w:r>
      <w:r w:rsidRPr="006D2F2C">
        <w:rPr>
          <w:rFonts w:cstheme="minorHAnsi"/>
          <w:b/>
          <w:sz w:val="19"/>
          <w:szCs w:val="19"/>
        </w:rPr>
        <w:t xml:space="preserve"> </w:t>
      </w:r>
      <w:r w:rsidRPr="006D2F2C">
        <w:rPr>
          <w:rFonts w:cstheme="minorHAnsi"/>
          <w:sz w:val="19"/>
          <w:szCs w:val="19"/>
        </w:rPr>
        <w:t>Jeżeli podłączenie do mediów nie jest wymagane, przedmiotowe postanowienie nie ma zastosowania. A co za tym idzie kara nie będzie naliczona.</w:t>
      </w:r>
      <w:bookmarkStart w:id="4" w:name="_GoBack"/>
      <w:bookmarkEnd w:id="4"/>
    </w:p>
    <w:p w:rsidR="00257E6C" w:rsidRPr="006D2F2C" w:rsidRDefault="00257E6C" w:rsidP="00257E6C">
      <w:pPr>
        <w:spacing w:line="240" w:lineRule="auto"/>
        <w:jc w:val="both"/>
        <w:rPr>
          <w:rFonts w:cstheme="minorHAnsi"/>
          <w:sz w:val="19"/>
          <w:szCs w:val="19"/>
        </w:rPr>
      </w:pPr>
      <w:r w:rsidRPr="006D2F2C">
        <w:rPr>
          <w:rFonts w:cstheme="minorHAnsi"/>
          <w:b/>
          <w:bCs/>
          <w:sz w:val="19"/>
          <w:szCs w:val="19"/>
        </w:rPr>
        <w:t>Pytanie 13,</w:t>
      </w:r>
      <w:r w:rsidRPr="006D2F2C">
        <w:rPr>
          <w:rFonts w:cstheme="minorHAnsi"/>
          <w:sz w:val="19"/>
          <w:szCs w:val="19"/>
        </w:rPr>
        <w:t xml:space="preserve"> Projekt umowy</w:t>
      </w:r>
    </w:p>
    <w:p w:rsidR="00257E6C" w:rsidRPr="006D2F2C" w:rsidRDefault="00257E6C" w:rsidP="00257E6C">
      <w:pPr>
        <w:autoSpaceDE w:val="0"/>
        <w:autoSpaceDN w:val="0"/>
        <w:adjustRightInd w:val="0"/>
        <w:spacing w:line="240" w:lineRule="auto"/>
        <w:rPr>
          <w:rFonts w:cstheme="minorHAnsi"/>
          <w:b/>
          <w:sz w:val="19"/>
          <w:szCs w:val="19"/>
        </w:rPr>
      </w:pPr>
      <w:r w:rsidRPr="006D2F2C">
        <w:rPr>
          <w:rFonts w:cstheme="minorHAnsi"/>
          <w:sz w:val="19"/>
          <w:szCs w:val="19"/>
        </w:rPr>
        <w:t>§ 11 ust. 4 - Czy Zamawiający wyrazi zgodę na zmniejszenie łącznej wysokości kar</w:t>
      </w:r>
      <w:r>
        <w:rPr>
          <w:rFonts w:cstheme="minorHAnsi"/>
          <w:sz w:val="19"/>
          <w:szCs w:val="19"/>
        </w:rPr>
        <w:t xml:space="preserve"> </w:t>
      </w:r>
      <w:r w:rsidRPr="006D2F2C">
        <w:rPr>
          <w:rFonts w:cstheme="minorHAnsi"/>
          <w:sz w:val="19"/>
          <w:szCs w:val="19"/>
        </w:rPr>
        <w:t>umownych z 30% do 10%?</w:t>
      </w:r>
      <w:r w:rsidRPr="006D2F2C">
        <w:rPr>
          <w:rFonts w:cstheme="minorHAnsi"/>
          <w:b/>
          <w:sz w:val="19"/>
          <w:szCs w:val="19"/>
        </w:rPr>
        <w:t xml:space="preserve"> </w:t>
      </w:r>
    </w:p>
    <w:p w:rsidR="00257E6C" w:rsidRPr="006D2F2C" w:rsidRDefault="00257E6C" w:rsidP="00257E6C">
      <w:pPr>
        <w:spacing w:line="240" w:lineRule="auto"/>
        <w:jc w:val="both"/>
        <w:rPr>
          <w:rFonts w:cstheme="minorHAnsi"/>
          <w:sz w:val="19"/>
          <w:szCs w:val="19"/>
        </w:rPr>
      </w:pPr>
      <w:r w:rsidRPr="006D2F2C">
        <w:rPr>
          <w:rFonts w:cstheme="minorHAnsi"/>
          <w:b/>
          <w:sz w:val="19"/>
          <w:szCs w:val="19"/>
        </w:rPr>
        <w:t>Odpowiedź:</w:t>
      </w:r>
      <w:r w:rsidRPr="006D2F2C">
        <w:rPr>
          <w:rFonts w:cstheme="minorHAnsi"/>
          <w:sz w:val="19"/>
          <w:szCs w:val="19"/>
        </w:rPr>
        <w:t xml:space="preserve">  Zamawiający nie wyraża zgody.</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57E6C">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257E6C">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32F5">
      <w:rPr>
        <w:rFonts w:cstheme="minorHAnsi"/>
      </w:rPr>
      <w:t>2</w:t>
    </w:r>
    <w:r w:rsidR="00257E6C">
      <w:rPr>
        <w:rFonts w:cstheme="minorHAnsi"/>
      </w:rPr>
      <w:t>6</w:t>
    </w:r>
    <w:r w:rsidR="00182086">
      <w:rPr>
        <w:rFonts w:cstheme="minorHAnsi"/>
      </w:rPr>
      <w:t>-</w:t>
    </w:r>
    <w:r w:rsidR="006F32F5">
      <w:rPr>
        <w:rFonts w:cstheme="minorHAnsi"/>
      </w:rPr>
      <w:t>0</w:t>
    </w:r>
    <w:r w:rsidR="00257E6C">
      <w:rPr>
        <w:rFonts w:cstheme="minorHAnsi"/>
      </w:rPr>
      <w:t>9</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57E6C"/>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B733-B86A-422A-8B22-30E6D75F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536</Words>
  <Characters>3220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20</cp:revision>
  <cp:lastPrinted>2021-07-05T09:45:00Z</cp:lastPrinted>
  <dcterms:created xsi:type="dcterms:W3CDTF">2022-11-07T20:00:00Z</dcterms:created>
  <dcterms:modified xsi:type="dcterms:W3CDTF">2023-09-25T12:43:00Z</dcterms:modified>
</cp:coreProperties>
</file>