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29B1" w14:textId="355CB0B1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F14CAA" w:rsidRPr="00AB6AF1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42E910D9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</w:t>
      </w:r>
      <w:r w:rsidR="003D2BD6">
        <w:rPr>
          <w:rFonts w:ascii="Verdana" w:eastAsia="Calibri" w:hAnsi="Verdana" w:cstheme="minorHAnsi"/>
          <w:b/>
          <w:bCs/>
          <w:sz w:val="18"/>
          <w:szCs w:val="18"/>
        </w:rPr>
        <w:t>ukasiewicz</w:t>
      </w:r>
      <w:r w:rsidRPr="003F021D">
        <w:rPr>
          <w:rFonts w:ascii="Verdana" w:eastAsia="Calibri" w:hAnsi="Verdana" w:cstheme="minorHAnsi"/>
          <w:b/>
          <w:bCs/>
          <w:sz w:val="18"/>
          <w:szCs w:val="18"/>
        </w:rPr>
        <w:t xml:space="preserve">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CD61943" w14:textId="4C8D39F1" w:rsidR="00093FA2" w:rsidRPr="00AB6AF1" w:rsidRDefault="00093FA2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………………………….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30387116" w14:textId="1DC2F67A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5B767571" w14:textId="2B9A2AF7" w:rsidR="005B05E7" w:rsidRDefault="005B05E7" w:rsidP="00557A72">
      <w:pPr>
        <w:pStyle w:val="Tekstpodstawowy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75347B0F" w14:textId="1D73BE05" w:rsidR="00882840" w:rsidRPr="00882840" w:rsidRDefault="005B05E7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…………………………………………….</w:t>
      </w: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731EAC2D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586AC5">
        <w:rPr>
          <w:rFonts w:eastAsia="Calibri" w:cstheme="minorHAnsi"/>
        </w:rPr>
        <w:t>4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486010">
        <w:rPr>
          <w:rFonts w:eastAsia="Calibri" w:cstheme="minorHAnsi"/>
        </w:rPr>
        <w:t>ś</w:t>
      </w:r>
      <w:r w:rsidR="00486010" w:rsidRPr="00486010">
        <w:rPr>
          <w:rFonts w:eastAsia="Calibri" w:cstheme="minorHAnsi"/>
        </w:rPr>
        <w:t xml:space="preserve">wiadczenie </w:t>
      </w:r>
      <w:r w:rsidR="00961CCF">
        <w:rPr>
          <w:rFonts w:eastAsia="Calibri" w:cstheme="minorHAnsi"/>
        </w:rPr>
        <w:t xml:space="preserve">usług </w:t>
      </w:r>
      <w:r w:rsidR="00486010" w:rsidRPr="00486010">
        <w:rPr>
          <w:rFonts w:eastAsia="Calibri" w:cstheme="minorHAnsi"/>
        </w:rPr>
        <w:t>utrzymania systemu Xpertis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7CA4DA26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 xml:space="preserve">sobowych w rozumieniu art. 4 pkt 7) </w:t>
      </w:r>
      <w:r w:rsidR="00250C0B">
        <w:rPr>
          <w:rFonts w:eastAsia="Calibri" w:cstheme="minorHAnsi"/>
        </w:rPr>
        <w:t>R</w:t>
      </w:r>
      <w:r w:rsidRPr="00FF0BA6">
        <w:rPr>
          <w:rFonts w:eastAsia="Calibri" w:cstheme="minorHAnsi"/>
        </w:rPr>
        <w:t>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(Dz.Urz.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osobowych,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6D74D38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</w:t>
      </w:r>
      <w:r w:rsidR="00250C0B">
        <w:rPr>
          <w:rFonts w:eastAsia="Calibri" w:cstheme="minorHAnsi"/>
        </w:rPr>
        <w:t>.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7906CE" w14:textId="6D98E8B2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77777777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lastRenderedPageBreak/>
        <w:t xml:space="preserve">Administrator powierza Przetwarzającemu przetwarzanie danych osobowych, które niezbędne jest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5C131971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</w:t>
      </w:r>
      <w:r w:rsidR="00250C0B">
        <w:rPr>
          <w:rFonts w:cstheme="minorHAnsi"/>
        </w:rPr>
        <w:t xml:space="preserve">po  pisemnym wyrażeniu zgody przez Administratora i </w:t>
      </w:r>
      <w:r w:rsidR="00BE48B7">
        <w:rPr>
          <w:rFonts w:cstheme="minorHAnsi"/>
        </w:rPr>
        <w:t>jeśli</w:t>
      </w:r>
      <w:r w:rsidR="00291EDC">
        <w:rPr>
          <w:rFonts w:cstheme="minorHAnsi"/>
        </w:rPr>
        <w:t xml:space="preserve"> jest to zgodne z przepisami RODO;</w:t>
      </w:r>
    </w:p>
    <w:p w14:paraId="7090DB27" w14:textId="17229BAA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do ograniczenia dostępu do danych osobowych wyłącznie do osób, których dostęp do danych jest niezbędny dla realizacji Umowy i posiadających</w:t>
      </w:r>
      <w:r w:rsidR="00250C0B">
        <w:rPr>
          <w:rFonts w:cstheme="minorHAnsi"/>
        </w:rPr>
        <w:t xml:space="preserve">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</w:t>
      </w:r>
      <w:r w:rsidR="00250C0B">
        <w:rPr>
          <w:rFonts w:cstheme="minorHAnsi"/>
        </w:rPr>
        <w:t xml:space="preserve"> do przetwarzania danych osobowych.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01D63E2A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  <w:r w:rsidR="00250C0B">
        <w:rPr>
          <w:rFonts w:cstheme="minorHAnsi"/>
        </w:rPr>
        <w:t xml:space="preserve"> w ciągu 3 dni od otrzymania zgłoszenia.</w:t>
      </w:r>
    </w:p>
    <w:p w14:paraId="492D9465" w14:textId="4219B742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>w sposób polegający na dowolnej formie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lastRenderedPageBreak/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r w:rsidRPr="00AB6AF1">
        <w:rPr>
          <w:rStyle w:val="Pogrubienie"/>
          <w:rFonts w:cstheme="minorHAnsi"/>
          <w:bCs w:val="0"/>
        </w:rPr>
        <w:t>Podpowierzenie</w:t>
      </w:r>
      <w:bookmarkEnd w:id="8"/>
    </w:p>
    <w:p w14:paraId="60487B21" w14:textId="56060C2A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podpowierzenia przetwarzania powierzonych danych osobowych podwykonawcom Przetwarzającego (dalej jako: Podprzetwarzający). Jeżeli Przetwarzający zamierza podpowierzyć przetwarzanie danych osobowych swoim podwykonawcom, musi uprzednio poinformować Administratora o zamiarze podpowierzenia oraz o tożsamości (nazwie) podmiotu, któremu ma zamiar podpowierzyć przetwarzanie danych, a także o charakterze podpowierzenia, zakresie danych, celu i czasie trwania podpowierzenia., Przetwarzający </w:t>
      </w:r>
      <w:r w:rsidR="00250C0B">
        <w:rPr>
          <w:rFonts w:cstheme="minorHAnsi"/>
        </w:rPr>
        <w:t xml:space="preserve"> jest </w:t>
      </w:r>
      <w:r w:rsidRPr="00AB6AF1">
        <w:rPr>
          <w:rFonts w:cstheme="minorHAnsi"/>
        </w:rPr>
        <w:t>uprawniony  do dokonania podpowierzenia</w:t>
      </w:r>
      <w:r w:rsidR="00250C0B">
        <w:rPr>
          <w:rFonts w:cstheme="minorHAnsi"/>
        </w:rPr>
        <w:t xml:space="preserve"> tylko po otrzymaniu pisemnej zgody od Administratora.</w:t>
      </w:r>
    </w:p>
    <w:p w14:paraId="78F80098" w14:textId="5820BA5E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Podpowierzenie przetwarzania będzie mieć za podstawę umowę, na podstawie której Podprzetwarzający zobowiąże się do wykonywania tych samych obowiązków - uwzględniając charakter oraz kontekst przetwarzania przez Podprzetwarzającego, które na mocy niniejszej Umowy nałożone są na Przetwarzającego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Administratorowi będą przysługiwały uprawnienia wynikające z umowy podpowierzenia bezpośrednio wobec Podprzetwarzającego. W przypadku wypowiedzenia lub rozwiązania umowy podpowierzenia,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8BCCA29" w14:textId="34A2EA36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oświadcza, że jeśli Podprzetwarzający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36F55F0F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>nr 2 do Umowy – Wykaz Podprzetwarzających.</w:t>
      </w:r>
      <w:r w:rsidR="00E34006">
        <w:rPr>
          <w:rFonts w:cstheme="minorHAnsi"/>
        </w:rPr>
        <w:t xml:space="preserve"> Administrator wyraża uprzednią zgodę na podpowierzenie przetwarzania danych podmiotom wskazanym w załączniku nr 2</w:t>
      </w:r>
      <w:r w:rsidR="00875617">
        <w:rPr>
          <w:rFonts w:cstheme="minorHAnsi"/>
        </w:rPr>
        <w:t>, jeśli podpowierzenie to spełnia warunki określone w ust. 3 – 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68FFED76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  <w:r w:rsidR="009E47C7">
        <w:rPr>
          <w:rFonts w:cstheme="minorHAnsi"/>
        </w:rPr>
        <w:t xml:space="preserve"> Przetwarzający udostępni dokumentacje Administratori w ciągu 3 dni roboczych od wezwania.</w:t>
      </w:r>
    </w:p>
    <w:p w14:paraId="61D62723" w14:textId="06DC8043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</w:p>
    <w:p w14:paraId="54313379" w14:textId="6B18821E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644B954" w14:textId="7321D5DA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28CA3EE" w14:textId="6830633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lastRenderedPageBreak/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450B25B3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5A77813E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upoważnionemu, dokonanie niezapowiedzianej kontroli w godzinach pracy Przetwarzającego.</w:t>
      </w:r>
    </w:p>
    <w:p w14:paraId="44B98378" w14:textId="739EC279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211BBB5B" w14:textId="22CA17BA" w:rsidR="0047322C" w:rsidRPr="009E47C7" w:rsidRDefault="00352340" w:rsidP="00093FA2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center"/>
        <w:outlineLvl w:val="0"/>
        <w:rPr>
          <w:rFonts w:eastAsia="Calibri" w:cstheme="minorHAnsi"/>
          <w:b/>
        </w:rPr>
      </w:pPr>
      <w:r w:rsidRPr="009E47C7">
        <w:rPr>
          <w:rFonts w:cstheme="minorHAnsi"/>
        </w:rPr>
        <w:t>umożliwia Administratorowi lub upoważnionemu audytorowi przeprowadzanie audytów lub inspekcji</w:t>
      </w:r>
      <w:r w:rsidR="00382D5E" w:rsidRPr="009E47C7">
        <w:rPr>
          <w:rFonts w:cstheme="minorHAnsi"/>
        </w:rPr>
        <w:t>, również w siedzibie Przetwarzającego</w:t>
      </w:r>
      <w:r w:rsidRPr="009E47C7">
        <w:rPr>
          <w:rFonts w:cstheme="minorHAnsi"/>
        </w:rPr>
        <w:t>. Przetwarzający współpracuje w</w:t>
      </w:r>
      <w:r w:rsidR="007A54FB" w:rsidRPr="009E47C7">
        <w:rPr>
          <w:rFonts w:cstheme="minorHAnsi"/>
        </w:rPr>
        <w:t> </w:t>
      </w:r>
      <w:r w:rsidRPr="009E47C7">
        <w:rPr>
          <w:rFonts w:cstheme="minorHAnsi"/>
        </w:rPr>
        <w:t>zakresie realizacji audytów lub inspekcji.</w:t>
      </w:r>
      <w:r w:rsidR="000B146A" w:rsidRPr="009E47C7">
        <w:rPr>
          <w:rFonts w:cstheme="minorHAnsi"/>
        </w:rPr>
        <w:t xml:space="preserve"> Au</w:t>
      </w:r>
      <w:r w:rsidR="00E26768" w:rsidRPr="009E47C7">
        <w:rPr>
          <w:rFonts w:cstheme="minorHAnsi"/>
        </w:rPr>
        <w:t xml:space="preserve"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</w:t>
      </w:r>
      <w:bookmarkStart w:id="15" w:name="_Toc505032492"/>
      <w:bookmarkEnd w:id="14"/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05A62D70" w14:textId="6E222D94" w:rsidR="003E556F" w:rsidRPr="003E556F" w:rsidRDefault="003E556F" w:rsidP="003E556F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odpowiada za szkody, jakie powstaną u Administratora lub osób trzecich w wyniku niezgodnego z Umową przetwarzania przez Przetwarzającego danych osobowych, przy czym:</w:t>
      </w:r>
    </w:p>
    <w:p w14:paraId="5329E14D" w14:textId="42E2C5F0" w:rsidR="003E556F" w:rsidRPr="003E556F" w:rsidRDefault="003E556F" w:rsidP="00926D31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Przetwarzający ponosi odpowiedzialność jedynie za poniesione przez Administratora rzeczywiste straty (damnum emergens) wynikłe z niewykonania lub nienależytego wykonywania Umowy, będące następstwem okoliczności, za które Przetwarzający ponosi odpowiedzialność – przy czym całkowita odpowiedzialność Przetwarzającego z wszelkich tytułów wynikających z Umowy w całym okresie jej obowiązywania nie może przekroczyć kwoty stanowiącej 100% wynagrodzenia netto wskazanego w §</w:t>
      </w:r>
      <w:r w:rsidR="00926D31">
        <w:rPr>
          <w:rFonts w:cstheme="minorHAnsi"/>
        </w:rPr>
        <w:t xml:space="preserve"> </w:t>
      </w:r>
      <w:r w:rsidRPr="003E556F">
        <w:rPr>
          <w:rFonts w:cstheme="minorHAnsi"/>
        </w:rPr>
        <w:t>6 ust</w:t>
      </w:r>
      <w:r w:rsidR="00926D31">
        <w:rPr>
          <w:rFonts w:cstheme="minorHAnsi"/>
        </w:rPr>
        <w:t>.</w:t>
      </w:r>
      <w:r w:rsidRPr="003E556F">
        <w:rPr>
          <w:rFonts w:cstheme="minorHAnsi"/>
        </w:rPr>
        <w:t xml:space="preserve"> 1 Umowy Podstawowej. Wszelka dalej idąca odpowiedzialność Przetwarzającego za szkody, jakie może ponieść Administrator w związku z niewykonaniem lub nienależytym wykonywaniem Umowy, jest wyłączona, </w:t>
      </w:r>
    </w:p>
    <w:p w14:paraId="701E1384" w14:textId="05D145EE" w:rsidR="00382D5E" w:rsidRPr="009C06F8" w:rsidRDefault="003E556F" w:rsidP="00926D31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wyżej wskazane ograniczenia odpowiedzialności nie dotyczą odpowiedzialności wobec osób, których dane dotyczą oraz szkód, jakie Przetwarzający wyrządził z winy umyślnej.</w:t>
      </w:r>
      <w:bookmarkStart w:id="16" w:name="_Toc505032493"/>
    </w:p>
    <w:p w14:paraId="106A64D5" w14:textId="77777777" w:rsidR="00344AF1" w:rsidRDefault="00344AF1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7078DA84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przetwarzania),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przekazywana Przetwarzającemu, w formie pisemnej, przez Administratora, na co najmniej 5 dni roboczych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079D1FC0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 - Przetwarzający zobowiązany jest poinformować pisemnie Administratora o wykonaniu tej operacji oraz o sposobie jej wykonania -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 xml:space="preserve">ego z Umowy Strony będą dążyły </w:t>
      </w:r>
      <w:r w:rsidRPr="00AB6AF1">
        <w:rPr>
          <w:rFonts w:cstheme="minorHAnsi"/>
        </w:rPr>
        <w:t>do jego pozaprocesowego rozwiązania.</w:t>
      </w:r>
    </w:p>
    <w:p w14:paraId="57C0751D" w14:textId="589F4561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właściwym, dla rozstrzygania sporów </w:t>
      </w:r>
      <w:r w:rsidR="00E3044A" w:rsidRPr="00AB6AF1">
        <w:rPr>
          <w:rFonts w:cstheme="minorHAnsi"/>
        </w:rPr>
        <w:t xml:space="preserve">pomiędzy Stronami wynikających </w:t>
      </w:r>
      <w:r w:rsidRPr="00AB6AF1">
        <w:rPr>
          <w:rFonts w:cstheme="minorHAnsi"/>
        </w:rPr>
        <w:t>z Umowy,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0917F0EB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elektronicznym.</w:t>
      </w:r>
    </w:p>
    <w:p w14:paraId="7CB4AAEB" w14:textId="77777777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781 § 1 kc.</w:t>
      </w:r>
    </w:p>
    <w:p w14:paraId="7B88293F" w14:textId="77777777" w:rsidR="00604593" w:rsidRPr="00AB6AF1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6806C15" w14:textId="31096D8B" w:rsidR="00D6428D" w:rsidRPr="00093FA2" w:rsidRDefault="00D6428D" w:rsidP="00093FA2">
      <w:pPr>
        <w:rPr>
          <w:rFonts w:eastAsia="Calibri" w:cstheme="minorHAnsi"/>
        </w:rPr>
      </w:pPr>
      <w:r w:rsidRPr="00123F22">
        <w:rPr>
          <w:rFonts w:eastAsia="Calibri" w:cstheme="minorHAnsi"/>
          <w:b/>
        </w:rPr>
        <w:t>Wykaz załączników:</w:t>
      </w:r>
    </w:p>
    <w:p w14:paraId="77B80809" w14:textId="40E837C9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BE0034" w:rsidRPr="00123F22">
        <w:rPr>
          <w:rFonts w:eastAsia="Calibri" w:cstheme="minorHAnsi"/>
        </w:rPr>
        <w:t>;</w:t>
      </w:r>
    </w:p>
    <w:p w14:paraId="1D7E71EC" w14:textId="0F4EA862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Podprzetwarzających.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3F4BDC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administratora</w:t>
      </w:r>
      <w:r w:rsidR="00A231E0">
        <w:rPr>
          <w:rFonts w:eastAsia="Calibri" w:cstheme="minorHAnsi"/>
        </w:rPr>
        <w:t xml:space="preserve"> (byli pracownicy, </w:t>
      </w:r>
      <w:r w:rsidR="00A231E0" w:rsidRPr="00A231E0">
        <w:rPr>
          <w:rFonts w:eastAsia="Calibri" w:cstheme="minorHAnsi"/>
        </w:rPr>
        <w:t>emeryci i renciści</w:t>
      </w:r>
      <w:r w:rsidR="00A231E0">
        <w:rPr>
          <w:rFonts w:eastAsia="Calibri" w:cstheme="minorHAnsi"/>
        </w:rPr>
        <w:t>)</w:t>
      </w:r>
      <w:r>
        <w:rPr>
          <w:rFonts w:eastAsia="Calibri" w:cstheme="minorHAnsi"/>
        </w:rPr>
        <w:t>;</w:t>
      </w:r>
    </w:p>
    <w:p w14:paraId="22B4785C" w14:textId="477E1F83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członkowie rodzin pracowników</w:t>
      </w:r>
      <w:r>
        <w:rPr>
          <w:rFonts w:eastAsia="Calibri" w:cstheme="minorHAnsi"/>
        </w:rPr>
        <w:t xml:space="preserve"> administratora;</w:t>
      </w:r>
    </w:p>
    <w:p w14:paraId="007A21F0" w14:textId="39E4A4E7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dłużnicy – osoby fizyczne</w:t>
      </w:r>
      <w:r>
        <w:rPr>
          <w:rFonts w:eastAsia="Calibri" w:cstheme="minorHAnsi"/>
        </w:rPr>
        <w:t>;</w:t>
      </w:r>
    </w:p>
    <w:p w14:paraId="6874B6B9" w14:textId="3007A1A1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kandydaci do pracy</w:t>
      </w:r>
      <w:r>
        <w:rPr>
          <w:rFonts w:eastAsia="Calibri" w:cstheme="minorHAnsi"/>
        </w:rPr>
        <w:t>;</w:t>
      </w:r>
    </w:p>
    <w:p w14:paraId="6092BC6F" w14:textId="350691C6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operatorzy programu</w:t>
      </w:r>
      <w:r>
        <w:rPr>
          <w:rFonts w:eastAsia="Calibri" w:cstheme="minorHAnsi"/>
        </w:rPr>
        <w:t>;</w:t>
      </w:r>
    </w:p>
    <w:p w14:paraId="7853E2D6" w14:textId="1FC882F8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osoby fizyczne po stronie kontrahentów</w:t>
      </w:r>
      <w:r>
        <w:rPr>
          <w:rFonts w:eastAsia="Calibri" w:cstheme="minorHAnsi"/>
        </w:rPr>
        <w:t>;</w:t>
      </w:r>
    </w:p>
    <w:p w14:paraId="453216E4" w14:textId="0B5A6EA9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podwykonawcy zależni</w:t>
      </w:r>
      <w:r>
        <w:rPr>
          <w:rFonts w:eastAsia="Calibri" w:cstheme="minorHAnsi"/>
        </w:rPr>
        <w:t>;</w:t>
      </w:r>
    </w:p>
    <w:p w14:paraId="2DA4F914" w14:textId="28D12D45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przedsiębiorcy – osoby fizyczne</w:t>
      </w:r>
      <w:r>
        <w:rPr>
          <w:rFonts w:eastAsia="Calibri" w:cstheme="minorHAnsi"/>
        </w:rPr>
        <w:t>;</w:t>
      </w:r>
    </w:p>
    <w:p w14:paraId="7DF139D1" w14:textId="55CE8A30" w:rsidR="00486010" w:rsidRPr="003C04E9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spadkobiercy pracowników – osoby fizyczne</w:t>
      </w:r>
      <w:r>
        <w:rPr>
          <w:rFonts w:eastAsia="Calibri" w:cstheme="minorHAnsi"/>
        </w:rPr>
        <w:t>;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51032CF4" w14:textId="77777777" w:rsidR="008F34F4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18C5A8A3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data urodzenia;</w:t>
      </w:r>
    </w:p>
    <w:p w14:paraId="5D32D43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PESEL;</w:t>
      </w:r>
    </w:p>
    <w:p w14:paraId="5EA7E572" w14:textId="013C174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NIP;</w:t>
      </w:r>
    </w:p>
    <w:p w14:paraId="79559D10" w14:textId="43BDA187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numer i rodzaj dowodu tożsamości;</w:t>
      </w:r>
    </w:p>
    <w:p w14:paraId="548F08DF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stopień niepełnosprawności;</w:t>
      </w:r>
    </w:p>
    <w:p w14:paraId="7DC131D7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firma;</w:t>
      </w:r>
    </w:p>
    <w:p w14:paraId="48DBA9A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adres geograficzny i poczty elektronicznej;</w:t>
      </w:r>
    </w:p>
    <w:p w14:paraId="21DC0894" w14:textId="7BB60D33" w:rsidR="00D6428D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telefon;</w:t>
      </w:r>
    </w:p>
    <w:p w14:paraId="122552B8" w14:textId="2C12B93A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fax;</w:t>
      </w:r>
    </w:p>
    <w:p w14:paraId="3E17B84B" w14:textId="77777777" w:rsidR="00A231E0" w:rsidRDefault="002C6CB3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strony www;</w:t>
      </w:r>
    </w:p>
    <w:p w14:paraId="636F24CC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ukończone szkoły i przebieg zatrudnienia;</w:t>
      </w:r>
    </w:p>
    <w:p w14:paraId="589C08A5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odbyte szkolenia i kursy, znajomość języków;</w:t>
      </w:r>
    </w:p>
    <w:p w14:paraId="29A80999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stopnie i tytuły zawodowe;</w:t>
      </w:r>
    </w:p>
    <w:p w14:paraId="111C3973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numer rachunku bankowego;</w:t>
      </w:r>
    </w:p>
    <w:p w14:paraId="31CDF245" w14:textId="79B0B26C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informacje na temat uprawnień emerytalnych i badań okresowych;</w:t>
      </w:r>
    </w:p>
    <w:p w14:paraId="55623BAA" w14:textId="4159EC60" w:rsidR="00A231E0" w:rsidRP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stan rodzinny.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DCCCE7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>Wykaz Podprzetwarzających</w:t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r w:rsidR="00BE0034">
              <w:rPr>
                <w:rFonts w:eastAsia="Calibri" w:cstheme="minorHAnsi"/>
              </w:rPr>
              <w:t>Podprzetwarzających, adres siedziby Podprzetwarzającego</w:t>
            </w:r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Charakter i cel podpowierzenia</w:t>
            </w:r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r w:rsidR="00BE0034">
              <w:rPr>
                <w:rFonts w:eastAsia="Calibri" w:cstheme="minorHAnsi"/>
              </w:rPr>
              <w:t xml:space="preserve">podpowierzonych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Czas trwania podpowierzenia</w:t>
            </w:r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82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407A3" w14:textId="77777777" w:rsidR="009622B1" w:rsidRDefault="009622B1" w:rsidP="00A17CCA">
      <w:pPr>
        <w:spacing w:after="0" w:line="240" w:lineRule="auto"/>
      </w:pPr>
      <w:r>
        <w:separator/>
      </w:r>
    </w:p>
  </w:endnote>
  <w:endnote w:type="continuationSeparator" w:id="0">
    <w:p w14:paraId="382468BB" w14:textId="77777777" w:rsidR="009622B1" w:rsidRDefault="009622B1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2319" w14:textId="77777777" w:rsidR="00641DEC" w:rsidRDefault="00641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093FA2" w:rsidP="00B26814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4929" w14:textId="77777777" w:rsidR="00641DEC" w:rsidRDefault="00641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84D0" w14:textId="77777777" w:rsidR="009622B1" w:rsidRDefault="009622B1" w:rsidP="00A17CCA">
      <w:pPr>
        <w:spacing w:after="0" w:line="240" w:lineRule="auto"/>
      </w:pPr>
      <w:r>
        <w:separator/>
      </w:r>
    </w:p>
  </w:footnote>
  <w:footnote w:type="continuationSeparator" w:id="0">
    <w:p w14:paraId="4C30B0D5" w14:textId="77777777" w:rsidR="009622B1" w:rsidRDefault="009622B1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056D" w14:textId="77777777" w:rsidR="00641DEC" w:rsidRDefault="00641D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0DEB" w14:textId="7C6BFDC0" w:rsidR="00641DEC" w:rsidRDefault="00641DEC" w:rsidP="00641DEC">
    <w:pPr>
      <w:pStyle w:val="Nagwek"/>
      <w:jc w:val="right"/>
    </w:pPr>
    <w:r>
      <w:t>Załącznik nr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8094E"/>
    <w:rsid w:val="000842BF"/>
    <w:rsid w:val="0008447B"/>
    <w:rsid w:val="0008492B"/>
    <w:rsid w:val="00085B31"/>
    <w:rsid w:val="00087D3C"/>
    <w:rsid w:val="000907E2"/>
    <w:rsid w:val="00091AE7"/>
    <w:rsid w:val="00092B3A"/>
    <w:rsid w:val="00092FCF"/>
    <w:rsid w:val="00093FA2"/>
    <w:rsid w:val="000944CB"/>
    <w:rsid w:val="00095260"/>
    <w:rsid w:val="000956DE"/>
    <w:rsid w:val="000A305F"/>
    <w:rsid w:val="000A5FCE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3E32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0B63"/>
    <w:rsid w:val="001818E0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D7968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0C0B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2688"/>
    <w:rsid w:val="00282B00"/>
    <w:rsid w:val="00282E7A"/>
    <w:rsid w:val="002839D8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5DF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003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112E"/>
    <w:rsid w:val="003D2BD6"/>
    <w:rsid w:val="003D37F0"/>
    <w:rsid w:val="003D3E27"/>
    <w:rsid w:val="003D6DFD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64FD"/>
    <w:rsid w:val="0046723A"/>
    <w:rsid w:val="00467A75"/>
    <w:rsid w:val="004714EA"/>
    <w:rsid w:val="004727DC"/>
    <w:rsid w:val="0047322C"/>
    <w:rsid w:val="00480B5E"/>
    <w:rsid w:val="00481B15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4E4B"/>
    <w:rsid w:val="004E786C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3AF9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237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AC5"/>
    <w:rsid w:val="00586FD8"/>
    <w:rsid w:val="00590B79"/>
    <w:rsid w:val="005926D3"/>
    <w:rsid w:val="005948A0"/>
    <w:rsid w:val="00597BA1"/>
    <w:rsid w:val="005A1E30"/>
    <w:rsid w:val="005A3229"/>
    <w:rsid w:val="005A3E8C"/>
    <w:rsid w:val="005B05E7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1DEC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A54FB"/>
    <w:rsid w:val="007B3B8E"/>
    <w:rsid w:val="007B4721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1054F"/>
    <w:rsid w:val="00911289"/>
    <w:rsid w:val="00911560"/>
    <w:rsid w:val="009206F4"/>
    <w:rsid w:val="00921416"/>
    <w:rsid w:val="00922267"/>
    <w:rsid w:val="00922376"/>
    <w:rsid w:val="00926D31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4693D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1CCF"/>
    <w:rsid w:val="009622B1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47C7"/>
    <w:rsid w:val="009E5AB3"/>
    <w:rsid w:val="009E5EDA"/>
    <w:rsid w:val="009E6417"/>
    <w:rsid w:val="009E6F0E"/>
    <w:rsid w:val="009E76B5"/>
    <w:rsid w:val="009F24A4"/>
    <w:rsid w:val="009F2B3C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339"/>
    <w:rsid w:val="00B077D1"/>
    <w:rsid w:val="00B10070"/>
    <w:rsid w:val="00B1064E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0064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05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632D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683C"/>
    <w:rsid w:val="00FA7444"/>
    <w:rsid w:val="00FA78D1"/>
    <w:rsid w:val="00FB2FD6"/>
    <w:rsid w:val="00FB3F80"/>
    <w:rsid w:val="00FC12C7"/>
    <w:rsid w:val="00FC195F"/>
    <w:rsid w:val="00FC3732"/>
    <w:rsid w:val="00FC4728"/>
    <w:rsid w:val="00FC5128"/>
    <w:rsid w:val="00FC57F3"/>
    <w:rsid w:val="00FC5FAE"/>
    <w:rsid w:val="00FD4A04"/>
    <w:rsid w:val="00FD533D"/>
    <w:rsid w:val="00FD55C9"/>
    <w:rsid w:val="00FF0BA6"/>
    <w:rsid w:val="00FF10FC"/>
    <w:rsid w:val="00FF3A66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2431</Words>
  <Characters>14591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3</cp:revision>
  <cp:lastPrinted>2019-08-01T11:34:00Z</cp:lastPrinted>
  <dcterms:created xsi:type="dcterms:W3CDTF">2024-11-20T12:15:00Z</dcterms:created>
  <dcterms:modified xsi:type="dcterms:W3CDTF">2024-11-20T12:18:00Z</dcterms:modified>
</cp:coreProperties>
</file>