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2C1" w14:textId="5389E28A" w:rsidR="00137441" w:rsidRDefault="00137441" w:rsidP="00137441">
      <w:pPr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 xml:space="preserve">                 Związek Powiatowo-Gminny</w:t>
      </w:r>
    </w:p>
    <w:p w14:paraId="5D9AA9CF" w14:textId="77777777" w:rsidR="00137441" w:rsidRPr="00455612" w:rsidRDefault="00137441" w:rsidP="00137441">
      <w:pPr>
        <w:rPr>
          <w:b/>
          <w:color w:val="767171" w:themeColor="background2" w:themeShade="80"/>
          <w:sz w:val="20"/>
          <w:szCs w:val="20"/>
        </w:rPr>
      </w:pPr>
      <w:r w:rsidRPr="00455612">
        <w:rPr>
          <w:b/>
          <w:color w:val="767171" w:themeColor="background2" w:themeShade="80"/>
          <w:sz w:val="20"/>
          <w:szCs w:val="20"/>
        </w:rPr>
        <w:t>„WIELKOPOLSKI TRANSPORT REGIONALNY”</w:t>
      </w:r>
    </w:p>
    <w:p w14:paraId="740D6207" w14:textId="77777777" w:rsidR="00137441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</w:p>
    <w:p w14:paraId="21DF4B09" w14:textId="77777777" w:rsidR="00137441" w:rsidRDefault="00137441" w:rsidP="00884B0E">
      <w:pPr>
        <w:rPr>
          <w:rFonts w:cs="Times New Roman"/>
        </w:rPr>
      </w:pPr>
    </w:p>
    <w:p w14:paraId="0E7FEC9F" w14:textId="17016CEF" w:rsidR="00884B0E" w:rsidRPr="00A25CF6" w:rsidRDefault="00884B0E" w:rsidP="00137441">
      <w:pPr>
        <w:ind w:left="5664" w:firstLine="708"/>
        <w:rPr>
          <w:rFonts w:cs="Times New Roman"/>
        </w:rPr>
      </w:pPr>
      <w:r w:rsidRPr="00A25CF6">
        <w:rPr>
          <w:rFonts w:cs="Times New Roman"/>
        </w:rPr>
        <w:t xml:space="preserve">Poznań, dnia </w:t>
      </w:r>
      <w:r w:rsidR="00E23728">
        <w:rPr>
          <w:rFonts w:cs="Times New Roman"/>
        </w:rPr>
        <w:t>12</w:t>
      </w:r>
      <w:r w:rsidR="00551811">
        <w:rPr>
          <w:rFonts w:cs="Times New Roman"/>
        </w:rPr>
        <w:t>.0</w:t>
      </w:r>
      <w:r w:rsidR="00E23728">
        <w:rPr>
          <w:rFonts w:cs="Times New Roman"/>
        </w:rPr>
        <w:t>5</w:t>
      </w:r>
      <w:r w:rsidR="00551811">
        <w:rPr>
          <w:rFonts w:cs="Times New Roman"/>
        </w:rPr>
        <w:t>.2023</w:t>
      </w:r>
      <w:r w:rsidRPr="00A25CF6">
        <w:rPr>
          <w:rFonts w:cs="Times New Roman"/>
        </w:rPr>
        <w:t xml:space="preserve"> r.</w:t>
      </w:r>
    </w:p>
    <w:p w14:paraId="5CA53F6A" w14:textId="534C38BD" w:rsidR="00884B0E" w:rsidRPr="00A25CF6" w:rsidRDefault="00884B0E" w:rsidP="00884B0E">
      <w:pPr>
        <w:rPr>
          <w:rFonts w:cs="Times New Roman"/>
          <w:b/>
          <w:bCs/>
        </w:rPr>
      </w:pPr>
      <w:r w:rsidRPr="00A25CF6">
        <w:rPr>
          <w:rFonts w:eastAsia="Batang" w:cs="Times New Roman"/>
        </w:rPr>
        <w:t xml:space="preserve">Oznaczenie sprawy:  </w:t>
      </w:r>
      <w:r w:rsidR="00A25CF6" w:rsidRPr="00A25CF6">
        <w:rPr>
          <w:rFonts w:eastAsia="Arial Narrow" w:cs="Times New Roman"/>
          <w:color w:val="000000"/>
        </w:rPr>
        <w:t>AB.261.3.2023</w:t>
      </w:r>
    </w:p>
    <w:p w14:paraId="4A7EB36D" w14:textId="77777777" w:rsidR="00884B0E" w:rsidRPr="00A25CF6" w:rsidRDefault="00884B0E" w:rsidP="00884B0E">
      <w:pPr>
        <w:rPr>
          <w:rFonts w:cs="Times New Roman"/>
          <w:b/>
          <w:bCs/>
        </w:rPr>
      </w:pPr>
    </w:p>
    <w:p w14:paraId="79B64857" w14:textId="77777777" w:rsidR="00884B0E" w:rsidRPr="00A25CF6" w:rsidRDefault="00884B0E" w:rsidP="00884B0E">
      <w:pPr>
        <w:rPr>
          <w:rFonts w:cs="Times New Roman"/>
        </w:rPr>
      </w:pPr>
    </w:p>
    <w:p w14:paraId="61023973" w14:textId="55768753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>Otrzymują:</w:t>
      </w:r>
    </w:p>
    <w:p w14:paraId="2D62D6C2" w14:textId="77777777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</w:p>
    <w:p w14:paraId="245D6A92" w14:textId="77777777" w:rsidR="00E23728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 xml:space="preserve">– </w:t>
      </w:r>
      <w:r w:rsidR="00E23728">
        <w:rPr>
          <w:rFonts w:cs="Times New Roman"/>
        </w:rPr>
        <w:t xml:space="preserve">wykonawcy </w:t>
      </w:r>
    </w:p>
    <w:p w14:paraId="43D58C1F" w14:textId="3032B52E" w:rsidR="00884B0E" w:rsidRDefault="00E23728" w:rsidP="00E23728">
      <w:pPr>
        <w:ind w:left="4956"/>
        <w:rPr>
          <w:rFonts w:cs="Times New Roman"/>
        </w:rPr>
      </w:pPr>
      <w:r>
        <w:rPr>
          <w:rFonts w:cs="Times New Roman"/>
        </w:rPr>
        <w:t>biorący udział w postępowaniu</w:t>
      </w:r>
    </w:p>
    <w:p w14:paraId="186BBEEE" w14:textId="6E7C5F14" w:rsidR="00363FDC" w:rsidRPr="00A25CF6" w:rsidRDefault="00363FDC" w:rsidP="00E23728">
      <w:pPr>
        <w:ind w:left="4956"/>
        <w:rPr>
          <w:rFonts w:cs="Times New Roman"/>
        </w:rPr>
      </w:pPr>
      <w:r>
        <w:rPr>
          <w:rFonts w:cs="Times New Roman"/>
        </w:rPr>
        <w:t xml:space="preserve">- strona internetowa prowadzonego </w:t>
      </w:r>
      <w:r w:rsidR="00DD3FA4">
        <w:rPr>
          <w:rFonts w:cs="Times New Roman"/>
        </w:rPr>
        <w:t>postępowania</w:t>
      </w:r>
    </w:p>
    <w:p w14:paraId="726D4B37" w14:textId="77777777" w:rsidR="00884B0E" w:rsidRDefault="00884B0E" w:rsidP="00884B0E">
      <w:pPr>
        <w:rPr>
          <w:rFonts w:cs="Times New Roman"/>
          <w:sz w:val="22"/>
          <w:szCs w:val="22"/>
        </w:rPr>
      </w:pPr>
    </w:p>
    <w:p w14:paraId="21EA28D9" w14:textId="14B195E6" w:rsidR="00884B0E" w:rsidRPr="00884B0E" w:rsidRDefault="00884B0E" w:rsidP="00884B0E">
      <w:pPr>
        <w:rPr>
          <w:rFonts w:eastAsia="Arial Narrow" w:cs="Times New Roman"/>
          <w:sz w:val="20"/>
          <w:szCs w:val="20"/>
        </w:rPr>
      </w:pPr>
      <w:r w:rsidRPr="00884B0E">
        <w:rPr>
          <w:rFonts w:eastAsia="TimesNewRomanPSMT" w:cs="Times New Roman"/>
          <w:color w:val="000000"/>
          <w:sz w:val="20"/>
          <w:szCs w:val="20"/>
          <w:lang w:eastAsia="ar-SA" w:bidi="ar-SA"/>
        </w:rPr>
        <w:t xml:space="preserve">Dotyczy: postępowania prowadzonego na platformie zakupowej  w trybie przetargu nieograniczonego </w:t>
      </w:r>
      <w:r w:rsidRPr="00884B0E">
        <w:rPr>
          <w:rFonts w:eastAsia="Arial Narrow" w:cs="Times New Roman"/>
          <w:sz w:val="20"/>
          <w:szCs w:val="20"/>
        </w:rPr>
        <w:t>Dostawa niskoemisyjnych autobusów międzymiastowych klasy II z napędem hybrydowym pn:</w:t>
      </w:r>
      <w:r w:rsidR="00F97B81">
        <w:rPr>
          <w:rFonts w:eastAsia="Arial Narrow" w:cs="Times New Roman"/>
          <w:sz w:val="20"/>
          <w:szCs w:val="20"/>
        </w:rPr>
        <w:t xml:space="preserve"> </w:t>
      </w:r>
      <w:r w:rsidRPr="00884B0E">
        <w:rPr>
          <w:rFonts w:eastAsia="Arial Narrow" w:cs="Times New Roman"/>
          <w:sz w:val="20"/>
          <w:szCs w:val="20"/>
        </w:rPr>
        <w:t>„Poprawa ekologiczności regionalnego transportu drogowego poprzez zakup taboru autobusowego zasilanego gazem ziemnym lub z napędem hybrydowym”</w:t>
      </w:r>
    </w:p>
    <w:p w14:paraId="1209959F" w14:textId="2F2DC075" w:rsidR="00884B0E" w:rsidRDefault="00884B0E" w:rsidP="00884B0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586FB754" w14:textId="77777777" w:rsidR="009B5B60" w:rsidRPr="006863DD" w:rsidRDefault="009B5B60" w:rsidP="009B5B60">
      <w:pPr>
        <w:spacing w:line="240" w:lineRule="auto"/>
        <w:jc w:val="center"/>
        <w:rPr>
          <w:i/>
        </w:rPr>
      </w:pPr>
      <w:r w:rsidRPr="006863DD">
        <w:rPr>
          <w:rFonts w:eastAsia="Times New Roman" w:cs="Times New Roman"/>
          <w:b/>
          <w:lang w:eastAsia="pl-PL"/>
        </w:rPr>
        <w:t xml:space="preserve">Informacja o </w:t>
      </w:r>
      <w:r>
        <w:rPr>
          <w:rFonts w:eastAsia="Times New Roman" w:cs="Times New Roman"/>
          <w:b/>
          <w:lang w:eastAsia="pl-PL"/>
        </w:rPr>
        <w:t>wyborze oferty</w:t>
      </w:r>
    </w:p>
    <w:p w14:paraId="50D8EA4E" w14:textId="77777777" w:rsidR="009B5B60" w:rsidRPr="006863DD" w:rsidRDefault="009B5B60" w:rsidP="009B5B60">
      <w:pPr>
        <w:pStyle w:val="Nagwek7"/>
        <w:tabs>
          <w:tab w:val="left" w:pos="6120"/>
        </w:tabs>
        <w:rPr>
          <w:sz w:val="24"/>
          <w:szCs w:val="24"/>
        </w:rPr>
      </w:pPr>
    </w:p>
    <w:p w14:paraId="2CA1958B" w14:textId="77777777" w:rsidR="009B5B60" w:rsidRPr="006863DD" w:rsidRDefault="009B5B60" w:rsidP="009B5B60">
      <w:pPr>
        <w:pStyle w:val="WW-Tekstpodstawowy3"/>
        <w:tabs>
          <w:tab w:val="left" w:pos="0"/>
        </w:tabs>
        <w:spacing w:after="0"/>
        <w:rPr>
          <w:sz w:val="24"/>
          <w:szCs w:val="24"/>
          <w:lang w:val="pl-PL"/>
        </w:rPr>
      </w:pPr>
    </w:p>
    <w:p w14:paraId="4DF2BBDA" w14:textId="5C2680FB" w:rsidR="009B5B60" w:rsidRDefault="00E23728" w:rsidP="009B5B60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>Z</w:t>
      </w:r>
      <w:r w:rsidR="009B5B60" w:rsidRPr="006863DD">
        <w:rPr>
          <w:rFonts w:cs="Times New Roman"/>
        </w:rPr>
        <w:t>godnie z dyspozycją art. 2</w:t>
      </w:r>
      <w:r w:rsidR="009B5B60">
        <w:rPr>
          <w:rFonts w:cs="Times New Roman"/>
        </w:rPr>
        <w:t>53</w:t>
      </w:r>
      <w:r w:rsidR="009B5B60" w:rsidRPr="006863DD">
        <w:rPr>
          <w:rFonts w:cs="Times New Roman"/>
        </w:rPr>
        <w:t xml:space="preserve"> ust. </w:t>
      </w:r>
      <w:r w:rsidR="009B5B60">
        <w:rPr>
          <w:rFonts w:cs="Times New Roman"/>
        </w:rPr>
        <w:t>1 i 2</w:t>
      </w:r>
      <w:r w:rsidR="009B5B60" w:rsidRPr="006863DD">
        <w:rPr>
          <w:rFonts w:cs="Times New Roman"/>
        </w:rPr>
        <w:t xml:space="preserve"> ustawy z dnia 11 września 2019r. Prawo zamówień publicznych (Dz. U z 20</w:t>
      </w:r>
      <w:r>
        <w:rPr>
          <w:rFonts w:cs="Times New Roman"/>
        </w:rPr>
        <w:t xml:space="preserve">22 </w:t>
      </w:r>
      <w:r w:rsidR="009B5B60" w:rsidRPr="006863DD">
        <w:rPr>
          <w:rFonts w:cs="Times New Roman"/>
        </w:rPr>
        <w:t xml:space="preserve">poz. </w:t>
      </w:r>
      <w:r>
        <w:rPr>
          <w:rFonts w:cs="Times New Roman"/>
        </w:rPr>
        <w:t>1710</w:t>
      </w:r>
      <w:r w:rsidR="009B5B60" w:rsidRPr="006863DD">
        <w:rPr>
          <w:rFonts w:cs="Times New Roman"/>
        </w:rPr>
        <w:t xml:space="preserve"> ze zmian.) </w:t>
      </w:r>
      <w:r w:rsidR="009B5B60">
        <w:rPr>
          <w:rFonts w:cs="Times New Roman"/>
        </w:rPr>
        <w:t>informuj</w:t>
      </w:r>
      <w:r>
        <w:rPr>
          <w:rFonts w:cs="Times New Roman"/>
        </w:rPr>
        <w:t>ę</w:t>
      </w:r>
      <w:r w:rsidR="009B5B60">
        <w:rPr>
          <w:rFonts w:cs="Times New Roman"/>
        </w:rPr>
        <w:t>, że</w:t>
      </w:r>
      <w:r>
        <w:rPr>
          <w:rFonts w:cs="Times New Roman"/>
        </w:rPr>
        <w:t xml:space="preserve"> Zamawiający </w:t>
      </w:r>
      <w:r w:rsidR="009B5B60">
        <w:rPr>
          <w:rFonts w:cs="Times New Roman"/>
        </w:rPr>
        <w:t xml:space="preserve"> dokonał </w:t>
      </w:r>
      <w:r>
        <w:rPr>
          <w:rFonts w:cs="Times New Roman"/>
        </w:rPr>
        <w:t xml:space="preserve">w niniejszym postępowaniu </w:t>
      </w:r>
      <w:r w:rsidR="009B5B60">
        <w:rPr>
          <w:rFonts w:cs="Times New Roman"/>
        </w:rPr>
        <w:t>wyboru najkorzystniejszej oferty Wykonawcy:</w:t>
      </w:r>
    </w:p>
    <w:p w14:paraId="22799986" w14:textId="42920757" w:rsidR="00E23728" w:rsidRPr="00E23728" w:rsidRDefault="00E23728" w:rsidP="00E23728">
      <w:pPr>
        <w:spacing w:line="360" w:lineRule="auto"/>
        <w:rPr>
          <w:rFonts w:cs="Times New Roman"/>
        </w:rPr>
      </w:pPr>
      <w:r w:rsidRPr="00E23728">
        <w:rPr>
          <w:rFonts w:cs="Times New Roman"/>
          <w:b/>
          <w:bCs/>
        </w:rPr>
        <w:t>ABP BUS &amp; COACH Spółka z ograniczoną odpowiedzialnością Spółka Komandytowa z siedzibą 776-200 Słupsk ul. Kowalska 1</w:t>
      </w:r>
      <w:r w:rsidR="00DD3FA4">
        <w:rPr>
          <w:rFonts w:ascii="ArialNarrow,Bold" w:hAnsi="ArialNarrow,Bold" w:cs="ArialNarrow,Bold"/>
          <w:b/>
          <w:bCs/>
        </w:rPr>
        <w:t>.</w:t>
      </w:r>
    </w:p>
    <w:p w14:paraId="2C3249D4" w14:textId="4C2F0CC0" w:rsidR="009B5B60" w:rsidRDefault="009B5B60" w:rsidP="009B5B60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Uzasadnienie:</w:t>
      </w:r>
    </w:p>
    <w:p w14:paraId="204703A3" w14:textId="4A041D78" w:rsidR="009B5B60" w:rsidRDefault="009B5B60" w:rsidP="009B5B60">
      <w:pPr>
        <w:spacing w:line="360" w:lineRule="auto"/>
        <w:rPr>
          <w:rFonts w:cs="Times New Roman"/>
        </w:rPr>
      </w:pPr>
      <w:r w:rsidRPr="00457AE1">
        <w:rPr>
          <w:rFonts w:cs="Times New Roman"/>
        </w:rPr>
        <w:t xml:space="preserve">Oferta </w:t>
      </w:r>
      <w:r>
        <w:rPr>
          <w:rFonts w:cs="Times New Roman"/>
        </w:rPr>
        <w:t xml:space="preserve">Wykonawcy uzyskała największą ilość punktów tj. łącznie </w:t>
      </w:r>
      <w:r w:rsidR="00D32E22">
        <w:rPr>
          <w:rFonts w:cs="Times New Roman"/>
        </w:rPr>
        <w:t>95,70</w:t>
      </w:r>
      <w:r>
        <w:rPr>
          <w:rFonts w:cs="Times New Roman"/>
        </w:rPr>
        <w:t xml:space="preserve"> pkt, w tym w</w:t>
      </w:r>
      <w:r w:rsidR="00E23728">
        <w:rPr>
          <w:rFonts w:cs="Times New Roman"/>
        </w:rPr>
        <w:t xml:space="preserve"> po</w:t>
      </w:r>
      <w:r w:rsidR="00D32E22">
        <w:rPr>
          <w:rFonts w:cs="Times New Roman"/>
        </w:rPr>
        <w:t>s</w:t>
      </w:r>
      <w:r w:rsidR="00E23728">
        <w:rPr>
          <w:rFonts w:cs="Times New Roman"/>
        </w:rPr>
        <w:t>z</w:t>
      </w:r>
      <w:r w:rsidR="00D32E22">
        <w:rPr>
          <w:rFonts w:cs="Times New Roman"/>
        </w:rPr>
        <w:t>czególnych</w:t>
      </w:r>
      <w:r>
        <w:rPr>
          <w:rFonts w:cs="Times New Roman"/>
        </w:rPr>
        <w:t xml:space="preserve"> kryteri</w:t>
      </w:r>
      <w:r w:rsidR="00E23728">
        <w:rPr>
          <w:rFonts w:cs="Times New Roman"/>
        </w:rPr>
        <w:t>ach punktację zgodnie z tabelą poniżej.</w:t>
      </w:r>
    </w:p>
    <w:p w14:paraId="5F6351D7" w14:textId="4CEAC89C" w:rsidR="009B5B60" w:rsidRDefault="009B5B60" w:rsidP="009B5B60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Oferta wybranego wykonawcy nie podlega odrzuceniu, a Wykonawca nie podlega wykluczeniu </w:t>
      </w:r>
      <w:r w:rsidR="00D32E22">
        <w:rPr>
          <w:rFonts w:cs="Times New Roman"/>
        </w:rPr>
        <w:t>i spełnia warunek udziału w postępowaniu</w:t>
      </w:r>
      <w:r>
        <w:rPr>
          <w:rFonts w:cs="Times New Roman"/>
        </w:rPr>
        <w:t>.</w:t>
      </w:r>
    </w:p>
    <w:p w14:paraId="6BA1695C" w14:textId="477FEB88" w:rsidR="0016673F" w:rsidRPr="00457AE1" w:rsidRDefault="0016673F" w:rsidP="009B5B60">
      <w:pPr>
        <w:spacing w:line="360" w:lineRule="auto"/>
        <w:rPr>
          <w:rFonts w:cs="Times New Roman"/>
        </w:rPr>
      </w:pPr>
      <w:r>
        <w:rPr>
          <w:rFonts w:cs="Times New Roman"/>
        </w:rPr>
        <w:t>Jednocześnie Zamawiający informuje, zgodnie z Rozdziałem II pkt II.2 SWZ, że z uwagi na zaoferowaną cenę najkorzystniejszej wybranej oferty Zamawiający skorzysta z prawa opcji w ilości 3 autobusów. Łączna ilość autobusów do zakupu</w:t>
      </w:r>
      <w:r w:rsidR="00F342DA">
        <w:rPr>
          <w:rFonts w:cs="Times New Roman"/>
        </w:rPr>
        <w:t xml:space="preserve"> od wybranego wykonawcy</w:t>
      </w:r>
      <w:r>
        <w:rPr>
          <w:rFonts w:cs="Times New Roman"/>
        </w:rPr>
        <w:t xml:space="preserve"> to 23 sztuki</w:t>
      </w:r>
      <w:r w:rsidR="00F342DA">
        <w:rPr>
          <w:rFonts w:cs="Times New Roman"/>
        </w:rPr>
        <w:t>, za cenę</w:t>
      </w:r>
      <w:r w:rsidR="008E0A76">
        <w:rPr>
          <w:rFonts w:cs="Times New Roman"/>
        </w:rPr>
        <w:t xml:space="preserve"> łączną</w:t>
      </w:r>
      <w:r w:rsidR="00F342DA">
        <w:rPr>
          <w:rFonts w:cs="Times New Roman"/>
        </w:rPr>
        <w:t xml:space="preserve"> </w:t>
      </w:r>
      <w:r w:rsidR="00F342DA" w:rsidRPr="00F342DA">
        <w:rPr>
          <w:rFonts w:cs="Times New Roman"/>
        </w:rPr>
        <w:t>34 966</w:t>
      </w:r>
      <w:r w:rsidR="00F342DA">
        <w:rPr>
          <w:rFonts w:cs="Times New Roman"/>
        </w:rPr>
        <w:t> </w:t>
      </w:r>
      <w:r w:rsidR="00F342DA" w:rsidRPr="00F342DA">
        <w:rPr>
          <w:rFonts w:cs="Times New Roman"/>
        </w:rPr>
        <w:t>440</w:t>
      </w:r>
      <w:r w:rsidR="00F342DA">
        <w:rPr>
          <w:rFonts w:cs="Times New Roman"/>
        </w:rPr>
        <w:t>,00 zł brutto</w:t>
      </w:r>
      <w:r w:rsidR="008E0A76">
        <w:rPr>
          <w:rFonts w:cs="Times New Roman"/>
        </w:rPr>
        <w:t>, która to cena mieści się w maksymalnej kwocie przeznaczonej na sfinansowanie zamówienia</w:t>
      </w:r>
      <w:r>
        <w:rPr>
          <w:rFonts w:cs="Times New Roman"/>
        </w:rPr>
        <w:t xml:space="preserve">. </w:t>
      </w:r>
    </w:p>
    <w:p w14:paraId="18CFB070" w14:textId="77777777" w:rsidR="0016673F" w:rsidRDefault="0016673F" w:rsidP="00E23728">
      <w:pPr>
        <w:spacing w:line="360" w:lineRule="auto"/>
        <w:rPr>
          <w:rFonts w:cs="Times New Roman"/>
          <w:bCs/>
        </w:rPr>
      </w:pPr>
    </w:p>
    <w:p w14:paraId="6DDFC152" w14:textId="47616AF2" w:rsidR="00E23728" w:rsidRDefault="00E23728" w:rsidP="00E23728">
      <w:pPr>
        <w:spacing w:line="360" w:lineRule="auto"/>
        <w:rPr>
          <w:rFonts w:cs="Times New Roman"/>
        </w:rPr>
      </w:pPr>
      <w:r w:rsidRPr="00E23728">
        <w:rPr>
          <w:rFonts w:cs="Times New Roman"/>
          <w:bCs/>
        </w:rPr>
        <w:t xml:space="preserve">Ponadto do postępowania ofertę podlegającą ocenie, która uplasowała się na drugim miejscu </w:t>
      </w:r>
      <w:r w:rsidR="006662F6">
        <w:rPr>
          <w:rFonts w:cs="Times New Roman"/>
          <w:bCs/>
        </w:rPr>
        <w:t>złożył</w:t>
      </w:r>
      <w:r w:rsidRPr="00E23728">
        <w:rPr>
          <w:rFonts w:cs="Times New Roman"/>
          <w:bCs/>
        </w:rPr>
        <w:t xml:space="preserve"> wykonawca</w:t>
      </w:r>
      <w:r w:rsidR="00DD3FA4">
        <w:rPr>
          <w:rFonts w:cs="Times New Roman"/>
          <w:bCs/>
        </w:rPr>
        <w:t xml:space="preserve">: </w:t>
      </w:r>
      <w:r w:rsidRPr="00E23728">
        <w:rPr>
          <w:rFonts w:cs="Times New Roman"/>
        </w:rPr>
        <w:t>Scania Polska S.A z siedzibą Aleja Katowicka 316, 05-830 Nadarzyn</w:t>
      </w:r>
      <w:r>
        <w:rPr>
          <w:rFonts w:cs="Times New Roman"/>
        </w:rPr>
        <w:t xml:space="preserve">. </w:t>
      </w:r>
      <w:r w:rsidRPr="00457AE1">
        <w:rPr>
          <w:rFonts w:cs="Times New Roman"/>
        </w:rPr>
        <w:lastRenderedPageBreak/>
        <w:t xml:space="preserve">Oferta </w:t>
      </w:r>
      <w:r>
        <w:rPr>
          <w:rFonts w:cs="Times New Roman"/>
        </w:rPr>
        <w:t xml:space="preserve">Wykonawcy uzyskała łącznie </w:t>
      </w:r>
      <w:r w:rsidR="006662F6">
        <w:rPr>
          <w:rFonts w:cs="Times New Roman"/>
        </w:rPr>
        <w:t>92,49</w:t>
      </w:r>
      <w:r>
        <w:rPr>
          <w:rFonts w:cs="Times New Roman"/>
        </w:rPr>
        <w:t xml:space="preserve"> pkt, w tym w po</w:t>
      </w:r>
      <w:r w:rsidR="006662F6">
        <w:rPr>
          <w:rFonts w:cs="Times New Roman"/>
        </w:rPr>
        <w:t>szczególnych</w:t>
      </w:r>
      <w:r>
        <w:rPr>
          <w:rFonts w:cs="Times New Roman"/>
        </w:rPr>
        <w:t xml:space="preserve"> kryteriach punktację zgodnie z tabelą poniżej.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418"/>
        <w:gridCol w:w="1413"/>
        <w:gridCol w:w="1311"/>
        <w:gridCol w:w="1382"/>
        <w:gridCol w:w="1255"/>
      </w:tblGrid>
      <w:tr w:rsidR="00E054D6" w:rsidRPr="008139F0" w14:paraId="74F4779C" w14:textId="77777777" w:rsidTr="00185A5C">
        <w:trPr>
          <w:trHeight w:val="291"/>
          <w:tblHeader/>
          <w:jc w:val="center"/>
        </w:trPr>
        <w:tc>
          <w:tcPr>
            <w:tcW w:w="675" w:type="dxa"/>
            <w:vMerge w:val="restart"/>
          </w:tcPr>
          <w:p w14:paraId="1366D86A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835" w:type="dxa"/>
            <w:vMerge w:val="restart"/>
          </w:tcPr>
          <w:p w14:paraId="6B891865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Nazwa kryterium</w:t>
            </w:r>
          </w:p>
        </w:tc>
        <w:tc>
          <w:tcPr>
            <w:tcW w:w="1418" w:type="dxa"/>
            <w:vMerge w:val="restart"/>
          </w:tcPr>
          <w:p w14:paraId="0579DC3F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Maksymalna liczba punktów</w:t>
            </w:r>
          </w:p>
        </w:tc>
        <w:tc>
          <w:tcPr>
            <w:tcW w:w="2724" w:type="dxa"/>
            <w:gridSpan w:val="2"/>
          </w:tcPr>
          <w:p w14:paraId="0F00A056" w14:textId="77777777" w:rsidR="002707D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-140" w:firstLine="140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2622F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</w:rPr>
              <w:t xml:space="preserve">APB </w:t>
            </w:r>
            <w:r w:rsidRPr="00E2622F">
              <w:rPr>
                <w:rFonts w:cs="Times New Roman"/>
                <w:b/>
                <w:bCs/>
                <w:sz w:val="20"/>
                <w:szCs w:val="20"/>
                <w:lang w:val="en-GB"/>
              </w:rPr>
              <w:t>BUS &amp; COACH</w:t>
            </w:r>
            <w:r w:rsidR="002707D4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F03129D" w14:textId="5D7DC0B4" w:rsidR="00E054D6" w:rsidRPr="00E2622F" w:rsidRDefault="002707D4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-140" w:firstLine="14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Sp. z o o sp. k</w:t>
            </w:r>
          </w:p>
        </w:tc>
        <w:tc>
          <w:tcPr>
            <w:tcW w:w="2637" w:type="dxa"/>
            <w:gridSpan w:val="2"/>
          </w:tcPr>
          <w:p w14:paraId="23EDCD94" w14:textId="77777777" w:rsidR="00E054D6" w:rsidRPr="00E2622F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2622F">
              <w:rPr>
                <w:rFonts w:cs="Times New Roman"/>
                <w:b/>
                <w:bCs/>
                <w:sz w:val="20"/>
                <w:szCs w:val="20"/>
              </w:rPr>
              <w:t>Scania Polska S.A</w:t>
            </w:r>
          </w:p>
        </w:tc>
      </w:tr>
      <w:tr w:rsidR="00E054D6" w:rsidRPr="008139F0" w14:paraId="5B14E536" w14:textId="77777777" w:rsidTr="00185A5C">
        <w:trPr>
          <w:trHeight w:val="140"/>
          <w:tblHeader/>
          <w:jc w:val="center"/>
        </w:trPr>
        <w:tc>
          <w:tcPr>
            <w:tcW w:w="675" w:type="dxa"/>
            <w:vMerge/>
          </w:tcPr>
          <w:p w14:paraId="619D9B7F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Merge/>
          </w:tcPr>
          <w:p w14:paraId="766352D7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vMerge/>
          </w:tcPr>
          <w:p w14:paraId="5B6DFE09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3" w:type="dxa"/>
          </w:tcPr>
          <w:p w14:paraId="25B789E5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139F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Parametr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oferowany</w:t>
            </w:r>
          </w:p>
        </w:tc>
        <w:tc>
          <w:tcPr>
            <w:tcW w:w="1311" w:type="dxa"/>
          </w:tcPr>
          <w:p w14:paraId="0D31DBE1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Przyznana liczba punktów</w:t>
            </w:r>
          </w:p>
        </w:tc>
        <w:tc>
          <w:tcPr>
            <w:tcW w:w="1382" w:type="dxa"/>
          </w:tcPr>
          <w:p w14:paraId="4CCCF75E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139F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Parametr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oferowany</w:t>
            </w:r>
          </w:p>
        </w:tc>
        <w:tc>
          <w:tcPr>
            <w:tcW w:w="1255" w:type="dxa"/>
          </w:tcPr>
          <w:p w14:paraId="6E3AA690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Przyznana liczba punktów</w:t>
            </w:r>
          </w:p>
        </w:tc>
      </w:tr>
      <w:tr w:rsidR="00E054D6" w:rsidRPr="008139F0" w14:paraId="33C3D5EA" w14:textId="77777777" w:rsidTr="00185A5C">
        <w:trPr>
          <w:trHeight w:val="59"/>
          <w:jc w:val="center"/>
        </w:trPr>
        <w:tc>
          <w:tcPr>
            <w:tcW w:w="675" w:type="dxa"/>
          </w:tcPr>
          <w:p w14:paraId="4BAA2F0B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</w:p>
          <w:p w14:paraId="5ADB9E73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</w:tcPr>
          <w:p w14:paraId="365A795F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Cena </w:t>
            </w:r>
            <w:r w:rsidRPr="008139F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pojazdów (zamówienie podstawowe i opcja)</w:t>
            </w:r>
          </w:p>
        </w:tc>
        <w:tc>
          <w:tcPr>
            <w:tcW w:w="1418" w:type="dxa"/>
            <w:vAlign w:val="center"/>
          </w:tcPr>
          <w:p w14:paraId="47EEF1F3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413" w:type="dxa"/>
            <w:vAlign w:val="center"/>
          </w:tcPr>
          <w:p w14:paraId="34C4D936" w14:textId="77777777" w:rsidR="00E054D6" w:rsidRPr="00E2622F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-110" w:right="3"/>
              <w:jc w:val="righ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2622F">
              <w:rPr>
                <w:rFonts w:cs="Times New Roman"/>
                <w:b/>
                <w:bCs/>
                <w:sz w:val="20"/>
                <w:szCs w:val="20"/>
              </w:rPr>
              <w:t>38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Pr="00E2622F">
              <w:rPr>
                <w:rFonts w:cs="Times New Roman"/>
                <w:b/>
                <w:bCs/>
                <w:sz w:val="20"/>
                <w:szCs w:val="20"/>
              </w:rPr>
              <w:t>007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2622F">
              <w:rPr>
                <w:rFonts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11" w:type="dxa"/>
            <w:vAlign w:val="center"/>
          </w:tcPr>
          <w:p w14:paraId="7ECDAF99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382" w:type="dxa"/>
            <w:vAlign w:val="center"/>
          </w:tcPr>
          <w:p w14:paraId="33D68F9F" w14:textId="77777777" w:rsidR="00E054D6" w:rsidRPr="00E2622F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-149" w:firstLine="33"/>
              <w:jc w:val="righ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2622F">
              <w:rPr>
                <w:rFonts w:cs="Times New Roman"/>
                <w:b/>
                <w:bCs/>
                <w:sz w:val="20"/>
                <w:szCs w:val="20"/>
              </w:rPr>
              <w:t>41 205 000,00</w:t>
            </w:r>
          </w:p>
        </w:tc>
        <w:tc>
          <w:tcPr>
            <w:tcW w:w="1255" w:type="dxa"/>
            <w:vAlign w:val="center"/>
          </w:tcPr>
          <w:p w14:paraId="49509729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55,34</w:t>
            </w:r>
          </w:p>
        </w:tc>
      </w:tr>
      <w:tr w:rsidR="00E054D6" w:rsidRPr="008139F0" w14:paraId="134E8D1C" w14:textId="77777777" w:rsidTr="00185A5C">
        <w:trPr>
          <w:trHeight w:val="59"/>
          <w:jc w:val="center"/>
        </w:trPr>
        <w:tc>
          <w:tcPr>
            <w:tcW w:w="10289" w:type="dxa"/>
            <w:gridSpan w:val="7"/>
          </w:tcPr>
          <w:p w14:paraId="7AF23990" w14:textId="77777777" w:rsid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Kryterium „T” - Parametry techniczno-użytkowe (waga 30%)</w:t>
            </w:r>
          </w:p>
          <w:p w14:paraId="3997350F" w14:textId="77777777" w:rsidR="00E054D6" w:rsidRDefault="00E054D6" w:rsidP="00185A5C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T=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HVO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ms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me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sn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Arial Narrow" w:hAnsi="Cambria Math" w:cs="Arial Narrow"/>
                        <w:vertAlign w:val="subscript"/>
                      </w:rPr>
                      <m:t xml:space="preserve"> + 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kz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 w:cs="Cambria Math"/>
                  </w:rPr>
                  <m:t xml:space="preserve">×0,3  </m:t>
                </m:r>
              </m:oMath>
            </m:oMathPara>
          </w:p>
          <w:p w14:paraId="78DB6214" w14:textId="77777777" w:rsidR="00E054D6" w:rsidRPr="008139F0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054D6" w:rsidRPr="004A33D1" w14:paraId="17342FFE" w14:textId="77777777" w:rsidTr="00185A5C">
        <w:trPr>
          <w:trHeight w:val="147"/>
          <w:jc w:val="center"/>
        </w:trPr>
        <w:tc>
          <w:tcPr>
            <w:tcW w:w="675" w:type="dxa"/>
          </w:tcPr>
          <w:p w14:paraId="478817C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2.1.</w:t>
            </w:r>
          </w:p>
        </w:tc>
        <w:tc>
          <w:tcPr>
            <w:tcW w:w="2835" w:type="dxa"/>
          </w:tcPr>
          <w:p w14:paraId="4B0423E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Tn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Zastosowanie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niskiej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podłogi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przedniej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części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pojazdu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wszystkich bezstopniowych wejść do pojazdu</w:t>
            </w:r>
          </w:p>
        </w:tc>
        <w:tc>
          <w:tcPr>
            <w:tcW w:w="1418" w:type="dxa"/>
            <w:vAlign w:val="center"/>
          </w:tcPr>
          <w:p w14:paraId="78E11D4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413" w:type="dxa"/>
            <w:vAlign w:val="center"/>
          </w:tcPr>
          <w:p w14:paraId="6F2CB22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20BCB84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82" w:type="dxa"/>
            <w:vAlign w:val="center"/>
          </w:tcPr>
          <w:p w14:paraId="02F6315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39D0B81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</w:tr>
      <w:tr w:rsidR="00E054D6" w:rsidRPr="004A33D1" w14:paraId="6223B297" w14:textId="77777777" w:rsidTr="00185A5C">
        <w:trPr>
          <w:trHeight w:val="67"/>
          <w:jc w:val="center"/>
        </w:trPr>
        <w:tc>
          <w:tcPr>
            <w:tcW w:w="675" w:type="dxa"/>
          </w:tcPr>
          <w:p w14:paraId="4821ECA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2.2.</w:t>
            </w:r>
          </w:p>
        </w:tc>
        <w:tc>
          <w:tcPr>
            <w:tcW w:w="2835" w:type="dxa"/>
          </w:tcPr>
          <w:p w14:paraId="587FAFA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Tj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Jednolitość rozwiązań technicznych</w:t>
            </w:r>
          </w:p>
        </w:tc>
        <w:tc>
          <w:tcPr>
            <w:tcW w:w="1418" w:type="dxa"/>
            <w:vAlign w:val="center"/>
          </w:tcPr>
          <w:p w14:paraId="3582B1B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413" w:type="dxa"/>
            <w:vAlign w:val="center"/>
          </w:tcPr>
          <w:p w14:paraId="71E7E88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68D1893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382" w:type="dxa"/>
            <w:vAlign w:val="center"/>
          </w:tcPr>
          <w:p w14:paraId="4989158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2B0B0DF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</w:tr>
      <w:tr w:rsidR="00E054D6" w:rsidRPr="004A33D1" w14:paraId="59330D5F" w14:textId="77777777" w:rsidTr="00185A5C">
        <w:trPr>
          <w:trHeight w:val="67"/>
          <w:jc w:val="center"/>
        </w:trPr>
        <w:tc>
          <w:tcPr>
            <w:tcW w:w="675" w:type="dxa"/>
          </w:tcPr>
          <w:p w14:paraId="0E87405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2.3.</w:t>
            </w:r>
          </w:p>
        </w:tc>
        <w:tc>
          <w:tcPr>
            <w:tcW w:w="2835" w:type="dxa"/>
          </w:tcPr>
          <w:p w14:paraId="75BC429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Te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System oczyszczania spalin (tylko SCR)</w:t>
            </w:r>
          </w:p>
        </w:tc>
        <w:tc>
          <w:tcPr>
            <w:tcW w:w="1418" w:type="dxa"/>
            <w:vAlign w:val="center"/>
          </w:tcPr>
          <w:p w14:paraId="5254684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3" w:type="dxa"/>
            <w:vAlign w:val="center"/>
          </w:tcPr>
          <w:p w14:paraId="0B319E0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098910E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382" w:type="dxa"/>
            <w:vAlign w:val="center"/>
          </w:tcPr>
          <w:p w14:paraId="6A5AEA0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3CD1D70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</w:tr>
      <w:tr w:rsidR="00E054D6" w:rsidRPr="004A33D1" w14:paraId="236DD295" w14:textId="77777777" w:rsidTr="00185A5C">
        <w:trPr>
          <w:trHeight w:val="147"/>
          <w:jc w:val="center"/>
        </w:trPr>
        <w:tc>
          <w:tcPr>
            <w:tcW w:w="675" w:type="dxa"/>
          </w:tcPr>
          <w:p w14:paraId="1694C996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2.4.</w:t>
            </w:r>
          </w:p>
        </w:tc>
        <w:tc>
          <w:tcPr>
            <w:tcW w:w="2835" w:type="dxa"/>
          </w:tcPr>
          <w:p w14:paraId="65062B5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C0C0C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THVO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Zaoferowaniejednostkinapędowejprzystosowanejdozasilaniapaliwami drugiej generacji typu HVO100 </w:t>
            </w:r>
            <w:r w:rsidRPr="004A33D1">
              <w:rPr>
                <w:rFonts w:eastAsiaTheme="minorHAnsi" w:cs="Times New Roman"/>
                <w:color w:val="0C0C0C"/>
                <w:kern w:val="0"/>
                <w:sz w:val="20"/>
                <w:szCs w:val="20"/>
                <w:lang w:eastAsia="en-US" w:bidi="ar-SA"/>
              </w:rPr>
              <w:t>(Hydrotreated Vegetable Oil)</w:t>
            </w:r>
          </w:p>
        </w:tc>
        <w:tc>
          <w:tcPr>
            <w:tcW w:w="1418" w:type="dxa"/>
            <w:vAlign w:val="center"/>
          </w:tcPr>
          <w:p w14:paraId="38B8F2F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3" w:type="dxa"/>
            <w:vAlign w:val="center"/>
          </w:tcPr>
          <w:p w14:paraId="2A4D78B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791E05C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382" w:type="dxa"/>
            <w:vAlign w:val="center"/>
          </w:tcPr>
          <w:p w14:paraId="0FCFE38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35589C3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E054D6" w:rsidRPr="004A33D1" w14:paraId="14CAF1AB" w14:textId="77777777" w:rsidTr="00185A5C">
        <w:trPr>
          <w:trHeight w:val="67"/>
          <w:jc w:val="center"/>
        </w:trPr>
        <w:tc>
          <w:tcPr>
            <w:tcW w:w="675" w:type="dxa"/>
          </w:tcPr>
          <w:p w14:paraId="4734677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2.5.</w:t>
            </w:r>
          </w:p>
        </w:tc>
        <w:tc>
          <w:tcPr>
            <w:tcW w:w="2835" w:type="dxa"/>
          </w:tcPr>
          <w:p w14:paraId="4072D33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Tw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Zastosowanie układu „start-stop”</w:t>
            </w:r>
          </w:p>
        </w:tc>
        <w:tc>
          <w:tcPr>
            <w:tcW w:w="1418" w:type="dxa"/>
            <w:vAlign w:val="center"/>
          </w:tcPr>
          <w:p w14:paraId="101DD6A6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3" w:type="dxa"/>
            <w:vAlign w:val="center"/>
          </w:tcPr>
          <w:p w14:paraId="63C066D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6735F2F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382" w:type="dxa"/>
            <w:vAlign w:val="center"/>
          </w:tcPr>
          <w:p w14:paraId="1BB7A62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6F6F1D7B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</w:tr>
      <w:tr w:rsidR="00E054D6" w:rsidRPr="004A33D1" w14:paraId="07A4B0F8" w14:textId="77777777" w:rsidTr="00185A5C">
        <w:trPr>
          <w:trHeight w:val="67"/>
          <w:jc w:val="center"/>
        </w:trPr>
        <w:tc>
          <w:tcPr>
            <w:tcW w:w="675" w:type="dxa"/>
          </w:tcPr>
          <w:p w14:paraId="48A5FBD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2.6.</w:t>
            </w:r>
          </w:p>
        </w:tc>
        <w:tc>
          <w:tcPr>
            <w:tcW w:w="2835" w:type="dxa"/>
          </w:tcPr>
          <w:p w14:paraId="22BC702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Tms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Moment obrotowy silnika spalinowego</w:t>
            </w:r>
          </w:p>
        </w:tc>
        <w:tc>
          <w:tcPr>
            <w:tcW w:w="1418" w:type="dxa"/>
            <w:vAlign w:val="center"/>
          </w:tcPr>
          <w:p w14:paraId="32286A3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3" w:type="dxa"/>
            <w:vAlign w:val="center"/>
          </w:tcPr>
          <w:p w14:paraId="537F306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1600 Nm</w:t>
            </w:r>
          </w:p>
        </w:tc>
        <w:tc>
          <w:tcPr>
            <w:tcW w:w="1311" w:type="dxa"/>
            <w:vAlign w:val="center"/>
          </w:tcPr>
          <w:p w14:paraId="517074E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382" w:type="dxa"/>
            <w:vAlign w:val="center"/>
          </w:tcPr>
          <w:p w14:paraId="6242609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1600 Nm</w:t>
            </w:r>
          </w:p>
        </w:tc>
        <w:tc>
          <w:tcPr>
            <w:tcW w:w="1255" w:type="dxa"/>
            <w:vAlign w:val="center"/>
          </w:tcPr>
          <w:p w14:paraId="27807F6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E054D6" w:rsidRPr="004A33D1" w14:paraId="5D7FAE8A" w14:textId="77777777" w:rsidTr="00185A5C">
        <w:trPr>
          <w:trHeight w:val="67"/>
          <w:jc w:val="center"/>
        </w:trPr>
        <w:tc>
          <w:tcPr>
            <w:tcW w:w="675" w:type="dxa"/>
          </w:tcPr>
          <w:p w14:paraId="5425DB0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2.7.</w:t>
            </w:r>
          </w:p>
        </w:tc>
        <w:tc>
          <w:tcPr>
            <w:tcW w:w="2835" w:type="dxa"/>
          </w:tcPr>
          <w:p w14:paraId="4B51946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Tme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Moc szczytowa silnika elektrycznego</w:t>
            </w:r>
          </w:p>
        </w:tc>
        <w:tc>
          <w:tcPr>
            <w:tcW w:w="1418" w:type="dxa"/>
            <w:vAlign w:val="center"/>
          </w:tcPr>
          <w:p w14:paraId="13B832D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413" w:type="dxa"/>
            <w:vAlign w:val="center"/>
          </w:tcPr>
          <w:p w14:paraId="1C82B3F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35 kW</w:t>
            </w:r>
          </w:p>
        </w:tc>
        <w:tc>
          <w:tcPr>
            <w:tcW w:w="1311" w:type="dxa"/>
            <w:vAlign w:val="center"/>
          </w:tcPr>
          <w:p w14:paraId="5D3E4F5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382" w:type="dxa"/>
            <w:vAlign w:val="center"/>
          </w:tcPr>
          <w:p w14:paraId="3A75885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130 kW</w:t>
            </w:r>
          </w:p>
        </w:tc>
        <w:tc>
          <w:tcPr>
            <w:tcW w:w="1255" w:type="dxa"/>
            <w:vAlign w:val="center"/>
          </w:tcPr>
          <w:p w14:paraId="49FBD74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E054D6" w:rsidRPr="004A33D1" w14:paraId="3C0AE5EF" w14:textId="77777777" w:rsidTr="00185A5C">
        <w:trPr>
          <w:trHeight w:val="67"/>
          <w:jc w:val="center"/>
        </w:trPr>
        <w:tc>
          <w:tcPr>
            <w:tcW w:w="675" w:type="dxa"/>
          </w:tcPr>
          <w:p w14:paraId="0657D0D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2.8.</w:t>
            </w:r>
          </w:p>
        </w:tc>
        <w:tc>
          <w:tcPr>
            <w:tcW w:w="2835" w:type="dxa"/>
          </w:tcPr>
          <w:p w14:paraId="71F42A8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Tr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Zastosowanie technologii 48 V w układzie rekuperacji energii</w:t>
            </w:r>
          </w:p>
        </w:tc>
        <w:tc>
          <w:tcPr>
            <w:tcW w:w="1418" w:type="dxa"/>
            <w:vAlign w:val="center"/>
          </w:tcPr>
          <w:p w14:paraId="3F10C6D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3" w:type="dxa"/>
            <w:vAlign w:val="center"/>
          </w:tcPr>
          <w:p w14:paraId="01A86CA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355C76D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382" w:type="dxa"/>
            <w:vAlign w:val="center"/>
          </w:tcPr>
          <w:p w14:paraId="3747F6D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NIE</w:t>
            </w:r>
          </w:p>
        </w:tc>
        <w:tc>
          <w:tcPr>
            <w:tcW w:w="1255" w:type="dxa"/>
            <w:vAlign w:val="center"/>
          </w:tcPr>
          <w:p w14:paraId="5ED5683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E054D6" w:rsidRPr="004A33D1" w14:paraId="122DCF7B" w14:textId="77777777" w:rsidTr="00185A5C">
        <w:trPr>
          <w:trHeight w:val="67"/>
          <w:jc w:val="center"/>
        </w:trPr>
        <w:tc>
          <w:tcPr>
            <w:tcW w:w="675" w:type="dxa"/>
          </w:tcPr>
          <w:p w14:paraId="0923DC4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2.9.</w:t>
            </w:r>
          </w:p>
        </w:tc>
        <w:tc>
          <w:tcPr>
            <w:tcW w:w="2835" w:type="dxa"/>
          </w:tcPr>
          <w:p w14:paraId="3FC5D96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Ts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Ogólna liczba miejsc siedzących (wraz z miejscami rozkładanymi)</w:t>
            </w:r>
          </w:p>
        </w:tc>
        <w:tc>
          <w:tcPr>
            <w:tcW w:w="1418" w:type="dxa"/>
            <w:vAlign w:val="center"/>
          </w:tcPr>
          <w:p w14:paraId="2431D67A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1413" w:type="dxa"/>
            <w:vAlign w:val="center"/>
          </w:tcPr>
          <w:p w14:paraId="26FDD78B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45+2</w:t>
            </w:r>
          </w:p>
        </w:tc>
        <w:tc>
          <w:tcPr>
            <w:tcW w:w="1311" w:type="dxa"/>
            <w:vAlign w:val="center"/>
          </w:tcPr>
          <w:p w14:paraId="7342C57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382" w:type="dxa"/>
            <w:vAlign w:val="center"/>
          </w:tcPr>
          <w:p w14:paraId="639D40A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47+2</w:t>
            </w:r>
          </w:p>
        </w:tc>
        <w:tc>
          <w:tcPr>
            <w:tcW w:w="1255" w:type="dxa"/>
            <w:vAlign w:val="center"/>
          </w:tcPr>
          <w:p w14:paraId="22C59D3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</w:tr>
      <w:tr w:rsidR="00E054D6" w:rsidRPr="004A33D1" w14:paraId="0FE249AB" w14:textId="77777777" w:rsidTr="00185A5C">
        <w:trPr>
          <w:trHeight w:val="147"/>
          <w:jc w:val="center"/>
        </w:trPr>
        <w:tc>
          <w:tcPr>
            <w:tcW w:w="675" w:type="dxa"/>
          </w:tcPr>
          <w:p w14:paraId="027D5C8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2.10.</w:t>
            </w:r>
          </w:p>
        </w:tc>
        <w:tc>
          <w:tcPr>
            <w:tcW w:w="2835" w:type="dxa"/>
          </w:tcPr>
          <w:p w14:paraId="1E528AE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Tsn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Ilość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miejsc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pasażerskich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siedzących,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dostępnych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bezpośrednio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poziomu niskiej podłogi (w tym również rozkładane)</w:t>
            </w:r>
          </w:p>
        </w:tc>
        <w:tc>
          <w:tcPr>
            <w:tcW w:w="1418" w:type="dxa"/>
            <w:vAlign w:val="center"/>
          </w:tcPr>
          <w:p w14:paraId="5FA7385A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413" w:type="dxa"/>
            <w:vAlign w:val="center"/>
          </w:tcPr>
          <w:p w14:paraId="2D29B84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311" w:type="dxa"/>
            <w:vAlign w:val="center"/>
          </w:tcPr>
          <w:p w14:paraId="348F3EA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382" w:type="dxa"/>
            <w:vAlign w:val="center"/>
          </w:tcPr>
          <w:p w14:paraId="7662813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255" w:type="dxa"/>
            <w:vAlign w:val="center"/>
          </w:tcPr>
          <w:p w14:paraId="3C0466A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</w:tr>
      <w:tr w:rsidR="00E054D6" w:rsidRPr="004A33D1" w14:paraId="7841E3DD" w14:textId="77777777" w:rsidTr="00185A5C">
        <w:trPr>
          <w:trHeight w:val="147"/>
          <w:jc w:val="center"/>
        </w:trPr>
        <w:tc>
          <w:tcPr>
            <w:tcW w:w="675" w:type="dxa"/>
          </w:tcPr>
          <w:p w14:paraId="7730DF6A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2.11.</w:t>
            </w:r>
          </w:p>
        </w:tc>
        <w:tc>
          <w:tcPr>
            <w:tcW w:w="2835" w:type="dxa"/>
          </w:tcPr>
          <w:p w14:paraId="28F7CB7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Możliwość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zabudowy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półek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na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podręczny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bagaż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tylnej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części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pojazdu</w:t>
            </w:r>
          </w:p>
        </w:tc>
        <w:tc>
          <w:tcPr>
            <w:tcW w:w="1418" w:type="dxa"/>
            <w:vAlign w:val="center"/>
          </w:tcPr>
          <w:p w14:paraId="4546362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3" w:type="dxa"/>
            <w:vAlign w:val="center"/>
          </w:tcPr>
          <w:p w14:paraId="319760E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176DAB1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382" w:type="dxa"/>
            <w:vAlign w:val="center"/>
          </w:tcPr>
          <w:p w14:paraId="6548EF56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3A12A49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  <w:tr w:rsidR="00E054D6" w:rsidRPr="004A33D1" w14:paraId="58B7C158" w14:textId="77777777" w:rsidTr="00185A5C">
        <w:trPr>
          <w:trHeight w:val="227"/>
          <w:jc w:val="center"/>
        </w:trPr>
        <w:tc>
          <w:tcPr>
            <w:tcW w:w="675" w:type="dxa"/>
          </w:tcPr>
          <w:p w14:paraId="12CF8468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2.12.</w:t>
            </w:r>
          </w:p>
        </w:tc>
        <w:tc>
          <w:tcPr>
            <w:tcW w:w="2835" w:type="dxa"/>
          </w:tcPr>
          <w:p w14:paraId="3E174BA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Zabudowa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multifunkcyjnej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kierownicy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możliwością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zmiany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wyświetlanych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treści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na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ekranie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deski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rozdzielczej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kierowcy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oraz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sterowania mediami bez odrywania rąk od kierownicy</w:t>
            </w:r>
          </w:p>
        </w:tc>
        <w:tc>
          <w:tcPr>
            <w:tcW w:w="1418" w:type="dxa"/>
            <w:vAlign w:val="center"/>
          </w:tcPr>
          <w:p w14:paraId="1EBDC5D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3" w:type="dxa"/>
            <w:vAlign w:val="center"/>
          </w:tcPr>
          <w:p w14:paraId="715ACAB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431F24D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382" w:type="dxa"/>
            <w:vAlign w:val="center"/>
          </w:tcPr>
          <w:p w14:paraId="1CD4666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1B6A512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  <w:tr w:rsidR="00E054D6" w:rsidRPr="004A33D1" w14:paraId="2764359A" w14:textId="77777777" w:rsidTr="00185A5C">
        <w:trPr>
          <w:trHeight w:val="67"/>
          <w:jc w:val="center"/>
        </w:trPr>
        <w:tc>
          <w:tcPr>
            <w:tcW w:w="675" w:type="dxa"/>
          </w:tcPr>
          <w:p w14:paraId="1C81430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2.13.</w:t>
            </w:r>
          </w:p>
        </w:tc>
        <w:tc>
          <w:tcPr>
            <w:tcW w:w="2835" w:type="dxa"/>
          </w:tcPr>
          <w:p w14:paraId="25F6541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Tkz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Montaż koła zapasowego poza przestrzenią pasażerską</w:t>
            </w:r>
          </w:p>
        </w:tc>
        <w:tc>
          <w:tcPr>
            <w:tcW w:w="1418" w:type="dxa"/>
            <w:vAlign w:val="center"/>
          </w:tcPr>
          <w:p w14:paraId="7605C92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3" w:type="dxa"/>
            <w:vAlign w:val="center"/>
          </w:tcPr>
          <w:p w14:paraId="5703D216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489F70E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382" w:type="dxa"/>
            <w:vAlign w:val="center"/>
          </w:tcPr>
          <w:p w14:paraId="27BA4E3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3158669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</w:tr>
      <w:tr w:rsidR="00E054D6" w:rsidRPr="004A33D1" w14:paraId="4B57F85C" w14:textId="77777777" w:rsidTr="00E054D6">
        <w:trPr>
          <w:trHeight w:val="1403"/>
          <w:jc w:val="center"/>
        </w:trPr>
        <w:tc>
          <w:tcPr>
            <w:tcW w:w="675" w:type="dxa"/>
          </w:tcPr>
          <w:p w14:paraId="3A7BD13B" w14:textId="77777777" w:rsid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69FCE08E" w14:textId="77777777" w:rsid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4A6915C2" w14:textId="3B168519" w:rsidR="00E054D6" w:rsidRPr="004A33D1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2835" w:type="dxa"/>
          </w:tcPr>
          <w:p w14:paraId="11A88997" w14:textId="77777777" w:rsid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5EE2E6A" w14:textId="77777777" w:rsid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C7491E3" w14:textId="09B3130A" w:rsidR="00E054D6" w:rsidRP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418" w:type="dxa"/>
            <w:vAlign w:val="center"/>
          </w:tcPr>
          <w:p w14:paraId="5F0D8635" w14:textId="1C4275D1" w:rsidR="00E054D6" w:rsidRP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413" w:type="dxa"/>
            <w:vAlign w:val="center"/>
          </w:tcPr>
          <w:p w14:paraId="24E289CE" w14:textId="4D005CE1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311" w:type="dxa"/>
            <w:vAlign w:val="center"/>
          </w:tcPr>
          <w:p w14:paraId="21CD628E" w14:textId="77777777" w:rsidR="00E054D6" w:rsidRPr="004A115E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89*30% = 26,7</w:t>
            </w:r>
          </w:p>
        </w:tc>
        <w:tc>
          <w:tcPr>
            <w:tcW w:w="1382" w:type="dxa"/>
            <w:vAlign w:val="center"/>
          </w:tcPr>
          <w:p w14:paraId="5F4A9655" w14:textId="401F03DD" w:rsidR="00E054D6" w:rsidRP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255" w:type="dxa"/>
            <w:vAlign w:val="center"/>
          </w:tcPr>
          <w:p w14:paraId="4B763649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93*30%=</w:t>
            </w:r>
          </w:p>
          <w:p w14:paraId="110D6E95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27,9</w:t>
            </w:r>
          </w:p>
        </w:tc>
      </w:tr>
      <w:tr w:rsidR="00E054D6" w:rsidRPr="004A33D1" w14:paraId="4318D369" w14:textId="77777777" w:rsidTr="00185A5C">
        <w:trPr>
          <w:trHeight w:val="59"/>
          <w:jc w:val="center"/>
        </w:trPr>
        <w:tc>
          <w:tcPr>
            <w:tcW w:w="10289" w:type="dxa"/>
            <w:gridSpan w:val="7"/>
          </w:tcPr>
          <w:p w14:paraId="08DFBE09" w14:textId="77777777" w:rsid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Kryterium „G” – warunki gwarancji i serwisu (waga 5%)</w:t>
            </w:r>
          </w:p>
          <w:p w14:paraId="0A8A263B" w14:textId="77777777" w:rsidR="00E054D6" w:rsidRDefault="00E054D6" w:rsidP="00185A5C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G=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km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FMS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 w:cs="Cambria Math"/>
                  </w:rPr>
                  <m:t xml:space="preserve">×0,05  </m:t>
                </m:r>
              </m:oMath>
            </m:oMathPara>
          </w:p>
          <w:p w14:paraId="70E9596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054D6" w:rsidRPr="004A33D1" w14:paraId="04AE5AB3" w14:textId="77777777" w:rsidTr="00185A5C">
        <w:trPr>
          <w:trHeight w:val="147"/>
          <w:jc w:val="center"/>
        </w:trPr>
        <w:tc>
          <w:tcPr>
            <w:tcW w:w="675" w:type="dxa"/>
          </w:tcPr>
          <w:p w14:paraId="2A73462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3.1.</w:t>
            </w:r>
          </w:p>
        </w:tc>
        <w:tc>
          <w:tcPr>
            <w:tcW w:w="2835" w:type="dxa"/>
          </w:tcPr>
          <w:p w14:paraId="2356117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Gc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Gwarancja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cało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pojazdowa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bez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limitu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kilometrów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określona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latach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od momentu dostawy i zarejestrowania pojazdu</w:t>
            </w:r>
          </w:p>
        </w:tc>
        <w:tc>
          <w:tcPr>
            <w:tcW w:w="1418" w:type="dxa"/>
            <w:vAlign w:val="center"/>
          </w:tcPr>
          <w:p w14:paraId="37E7F16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413" w:type="dxa"/>
            <w:vAlign w:val="center"/>
          </w:tcPr>
          <w:p w14:paraId="5824854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311" w:type="dxa"/>
            <w:vAlign w:val="center"/>
          </w:tcPr>
          <w:p w14:paraId="0C191F7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1382" w:type="dxa"/>
            <w:vAlign w:val="center"/>
          </w:tcPr>
          <w:p w14:paraId="3AD85CE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55" w:type="dxa"/>
            <w:vAlign w:val="center"/>
          </w:tcPr>
          <w:p w14:paraId="19704FB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</w:tr>
      <w:tr w:rsidR="00E054D6" w:rsidRPr="004A33D1" w14:paraId="25BC6EFE" w14:textId="77777777" w:rsidTr="00185A5C">
        <w:trPr>
          <w:trHeight w:val="67"/>
          <w:jc w:val="center"/>
        </w:trPr>
        <w:tc>
          <w:tcPr>
            <w:tcW w:w="675" w:type="dxa"/>
          </w:tcPr>
          <w:p w14:paraId="2FDA423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3.3.</w:t>
            </w:r>
          </w:p>
        </w:tc>
        <w:tc>
          <w:tcPr>
            <w:tcW w:w="2835" w:type="dxa"/>
          </w:tcPr>
          <w:p w14:paraId="632C2DB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Gp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Gwarancja trwałości powłok lakierniczych</w:t>
            </w:r>
          </w:p>
        </w:tc>
        <w:tc>
          <w:tcPr>
            <w:tcW w:w="1418" w:type="dxa"/>
            <w:vAlign w:val="center"/>
          </w:tcPr>
          <w:p w14:paraId="30E2ECF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413" w:type="dxa"/>
            <w:vAlign w:val="center"/>
          </w:tcPr>
          <w:p w14:paraId="0CA8D87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311" w:type="dxa"/>
            <w:vAlign w:val="center"/>
          </w:tcPr>
          <w:p w14:paraId="4485B4F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1382" w:type="dxa"/>
            <w:vAlign w:val="center"/>
          </w:tcPr>
          <w:p w14:paraId="587CFA4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255" w:type="dxa"/>
            <w:vAlign w:val="center"/>
          </w:tcPr>
          <w:p w14:paraId="4D99F0E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</w:tr>
      <w:tr w:rsidR="00E054D6" w:rsidRPr="004A33D1" w14:paraId="5BF3CDEF" w14:textId="77777777" w:rsidTr="00185A5C">
        <w:trPr>
          <w:trHeight w:val="388"/>
          <w:jc w:val="center"/>
        </w:trPr>
        <w:tc>
          <w:tcPr>
            <w:tcW w:w="675" w:type="dxa"/>
          </w:tcPr>
          <w:p w14:paraId="48FAD74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3.3.</w:t>
            </w:r>
          </w:p>
        </w:tc>
        <w:tc>
          <w:tcPr>
            <w:tcW w:w="2835" w:type="dxa"/>
          </w:tcPr>
          <w:p w14:paraId="5A21597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Gkm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Odległość pomiędzy zajezdnią Operatora, wskazanego przez Zamawiającego. znajdującą się w Poznaniu przy ul. Drużynowej , a dedykowanym ASO dla oferowanych autobusów wskazanym przez Oferenta. (Adres ASO musi być wskazany przez Oferenta w formularzu ofertowym)</w:t>
            </w:r>
          </w:p>
        </w:tc>
        <w:tc>
          <w:tcPr>
            <w:tcW w:w="1418" w:type="dxa"/>
            <w:vAlign w:val="center"/>
          </w:tcPr>
          <w:p w14:paraId="4C721D8B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413" w:type="dxa"/>
            <w:vAlign w:val="center"/>
          </w:tcPr>
          <w:p w14:paraId="50E44C3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16,3</w:t>
            </w:r>
          </w:p>
        </w:tc>
        <w:tc>
          <w:tcPr>
            <w:tcW w:w="1311" w:type="dxa"/>
            <w:vAlign w:val="center"/>
          </w:tcPr>
          <w:p w14:paraId="614DABD5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382" w:type="dxa"/>
            <w:vAlign w:val="center"/>
          </w:tcPr>
          <w:p w14:paraId="7BC5E4E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18,87</w:t>
            </w:r>
          </w:p>
        </w:tc>
        <w:tc>
          <w:tcPr>
            <w:tcW w:w="1255" w:type="dxa"/>
            <w:vAlign w:val="center"/>
          </w:tcPr>
          <w:p w14:paraId="71EAE8D9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</w:tr>
      <w:tr w:rsidR="00E054D6" w:rsidRPr="004A33D1" w14:paraId="45E9C1A8" w14:textId="77777777" w:rsidTr="00185A5C">
        <w:trPr>
          <w:trHeight w:val="388"/>
          <w:jc w:val="center"/>
        </w:trPr>
        <w:tc>
          <w:tcPr>
            <w:tcW w:w="675" w:type="dxa"/>
          </w:tcPr>
          <w:p w14:paraId="3330227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3.4.</w:t>
            </w:r>
          </w:p>
        </w:tc>
        <w:tc>
          <w:tcPr>
            <w:tcW w:w="2835" w:type="dxa"/>
          </w:tcPr>
          <w:p w14:paraId="58A7047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GFMS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Bezpłatne udostępnienie Zamawiającemu i Operatorowi wskazanemu przez Zamawiającego, systemu FMS w okresie rękojmi. Przez pojęcie FMS rozumie się systemy zarządzania flotą, dostępne przez internet lub wysyłające raporty na wskazaną skrzynkę mailową, pozwalające na bieżący monitoring eksploatacji pojazdów.</w:t>
            </w:r>
          </w:p>
        </w:tc>
        <w:tc>
          <w:tcPr>
            <w:tcW w:w="1418" w:type="dxa"/>
            <w:vAlign w:val="center"/>
          </w:tcPr>
          <w:p w14:paraId="1A64711A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413" w:type="dxa"/>
            <w:vAlign w:val="center"/>
          </w:tcPr>
          <w:p w14:paraId="1A53BAAE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311" w:type="dxa"/>
            <w:vAlign w:val="center"/>
          </w:tcPr>
          <w:p w14:paraId="192D5C96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382" w:type="dxa"/>
            <w:vAlign w:val="center"/>
          </w:tcPr>
          <w:p w14:paraId="7C45A2E2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  <w:tc>
          <w:tcPr>
            <w:tcW w:w="1255" w:type="dxa"/>
            <w:vAlign w:val="center"/>
          </w:tcPr>
          <w:p w14:paraId="1686A16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</w:tr>
      <w:tr w:rsidR="00E054D6" w:rsidRPr="004A33D1" w14:paraId="6AD11F15" w14:textId="77777777" w:rsidTr="00185A5C">
        <w:trPr>
          <w:trHeight w:val="388"/>
          <w:jc w:val="center"/>
        </w:trPr>
        <w:tc>
          <w:tcPr>
            <w:tcW w:w="675" w:type="dxa"/>
          </w:tcPr>
          <w:p w14:paraId="33B72572" w14:textId="22B067E5" w:rsidR="00E054D6" w:rsidRPr="004A33D1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2835" w:type="dxa"/>
          </w:tcPr>
          <w:p w14:paraId="142450F9" w14:textId="04A7568F" w:rsidR="00E054D6" w:rsidRPr="00E054D6" w:rsidRDefault="00E054D6" w:rsidP="00E054D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418" w:type="dxa"/>
            <w:vAlign w:val="center"/>
          </w:tcPr>
          <w:p w14:paraId="504309AB" w14:textId="3337CDD8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413" w:type="dxa"/>
            <w:vAlign w:val="center"/>
          </w:tcPr>
          <w:p w14:paraId="36D6BB37" w14:textId="3971D305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311" w:type="dxa"/>
            <w:vAlign w:val="center"/>
          </w:tcPr>
          <w:p w14:paraId="66D8FB81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80*5%=4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,00</w:t>
            </w:r>
          </w:p>
        </w:tc>
        <w:tc>
          <w:tcPr>
            <w:tcW w:w="1382" w:type="dxa"/>
            <w:vAlign w:val="center"/>
          </w:tcPr>
          <w:p w14:paraId="2D356B7E" w14:textId="648E7BA7" w:rsidR="00E054D6" w:rsidRP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255" w:type="dxa"/>
            <w:vAlign w:val="center"/>
          </w:tcPr>
          <w:p w14:paraId="75697C43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85*5% = 4,25</w:t>
            </w:r>
          </w:p>
        </w:tc>
      </w:tr>
      <w:tr w:rsidR="00E054D6" w:rsidRPr="004A33D1" w14:paraId="792F2534" w14:textId="77777777" w:rsidTr="00185A5C">
        <w:trPr>
          <w:trHeight w:val="65"/>
          <w:jc w:val="center"/>
        </w:trPr>
        <w:tc>
          <w:tcPr>
            <w:tcW w:w="10289" w:type="dxa"/>
            <w:gridSpan w:val="7"/>
          </w:tcPr>
          <w:p w14:paraId="73A2557F" w14:textId="77777777" w:rsid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Kryterium „D” – terminy dostaw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(waga 5%)</w:t>
            </w:r>
          </w:p>
          <w:p w14:paraId="35B6E67E" w14:textId="77777777" w:rsidR="00E054D6" w:rsidRDefault="00E054D6" w:rsidP="00185A5C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D=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 w:cs="Cambria Math"/>
                  </w:rPr>
                  <m:t xml:space="preserve">×0,05  </m:t>
                </m:r>
              </m:oMath>
            </m:oMathPara>
          </w:p>
          <w:p w14:paraId="44B54544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054D6" w:rsidRPr="004A33D1" w14:paraId="0E1FEAEC" w14:textId="77777777" w:rsidTr="00185A5C">
        <w:trPr>
          <w:trHeight w:val="140"/>
          <w:jc w:val="center"/>
        </w:trPr>
        <w:tc>
          <w:tcPr>
            <w:tcW w:w="675" w:type="dxa"/>
          </w:tcPr>
          <w:p w14:paraId="20B3447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4.1.</w:t>
            </w:r>
          </w:p>
        </w:tc>
        <w:tc>
          <w:tcPr>
            <w:tcW w:w="2835" w:type="dxa"/>
          </w:tcPr>
          <w:p w14:paraId="185727F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Dr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Rozpoczęcie dostaw</w:t>
            </w:r>
          </w:p>
        </w:tc>
        <w:tc>
          <w:tcPr>
            <w:tcW w:w="1418" w:type="dxa"/>
          </w:tcPr>
          <w:p w14:paraId="62A5A75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</w:p>
        </w:tc>
        <w:tc>
          <w:tcPr>
            <w:tcW w:w="1413" w:type="dxa"/>
          </w:tcPr>
          <w:p w14:paraId="0811A8AC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3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do 29.11.23 + 8 do 30.12.2023</w:t>
            </w:r>
          </w:p>
        </w:tc>
        <w:tc>
          <w:tcPr>
            <w:tcW w:w="1311" w:type="dxa"/>
          </w:tcPr>
          <w:p w14:paraId="28808FD3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</w:p>
        </w:tc>
        <w:tc>
          <w:tcPr>
            <w:tcW w:w="1382" w:type="dxa"/>
          </w:tcPr>
          <w:p w14:paraId="671A541D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 do 29.11.23 + 8 do 30.12.2023</w:t>
            </w:r>
          </w:p>
        </w:tc>
        <w:tc>
          <w:tcPr>
            <w:tcW w:w="1255" w:type="dxa"/>
          </w:tcPr>
          <w:p w14:paraId="7819BACB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</w:p>
        </w:tc>
      </w:tr>
      <w:tr w:rsidR="00E054D6" w:rsidRPr="004A33D1" w14:paraId="18AF18B1" w14:textId="77777777" w:rsidTr="00185A5C">
        <w:trPr>
          <w:trHeight w:val="67"/>
          <w:jc w:val="center"/>
        </w:trPr>
        <w:tc>
          <w:tcPr>
            <w:tcW w:w="675" w:type="dxa"/>
          </w:tcPr>
          <w:p w14:paraId="798405D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4.2.</w:t>
            </w:r>
          </w:p>
        </w:tc>
        <w:tc>
          <w:tcPr>
            <w:tcW w:w="2835" w:type="dxa"/>
          </w:tcPr>
          <w:p w14:paraId="58E2274F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Dk </w:t>
            </w: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Zakończenie dostaw</w:t>
            </w:r>
          </w:p>
        </w:tc>
        <w:tc>
          <w:tcPr>
            <w:tcW w:w="1418" w:type="dxa"/>
          </w:tcPr>
          <w:p w14:paraId="770ADFBB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</w:p>
        </w:tc>
        <w:tc>
          <w:tcPr>
            <w:tcW w:w="1413" w:type="dxa"/>
          </w:tcPr>
          <w:p w14:paraId="517DF2C3" w14:textId="3D35760E" w:rsidR="00DD3FA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do 27.02.2023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(zamawiający dokonał poprawki oczywistej omyłki pisarskiej</w:t>
            </w:r>
            <w:r w:rsidR="00DD3FA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7736078F" w14:textId="3A4592E3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w ofercie jest 27.02.2023 powinno być 27.02.2024</w:t>
            </w:r>
          </w:p>
        </w:tc>
        <w:tc>
          <w:tcPr>
            <w:tcW w:w="1311" w:type="dxa"/>
          </w:tcPr>
          <w:p w14:paraId="6ECCF840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50</w:t>
            </w:r>
          </w:p>
        </w:tc>
        <w:tc>
          <w:tcPr>
            <w:tcW w:w="1382" w:type="dxa"/>
          </w:tcPr>
          <w:p w14:paraId="485CA077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33D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do 27.02.2024</w:t>
            </w:r>
          </w:p>
        </w:tc>
        <w:tc>
          <w:tcPr>
            <w:tcW w:w="1255" w:type="dxa"/>
          </w:tcPr>
          <w:p w14:paraId="2484E0C1" w14:textId="77777777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</w:p>
        </w:tc>
      </w:tr>
      <w:tr w:rsidR="00E054D6" w:rsidRPr="004A33D1" w14:paraId="21D0A0BD" w14:textId="77777777" w:rsidTr="00185A5C">
        <w:trPr>
          <w:trHeight w:val="67"/>
          <w:jc w:val="center"/>
        </w:trPr>
        <w:tc>
          <w:tcPr>
            <w:tcW w:w="675" w:type="dxa"/>
          </w:tcPr>
          <w:p w14:paraId="10530A35" w14:textId="52430590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2835" w:type="dxa"/>
          </w:tcPr>
          <w:p w14:paraId="5CBB46CE" w14:textId="70393B41" w:rsidR="00E054D6" w:rsidRP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418" w:type="dxa"/>
          </w:tcPr>
          <w:p w14:paraId="1798257B" w14:textId="57863242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413" w:type="dxa"/>
          </w:tcPr>
          <w:p w14:paraId="42E28E97" w14:textId="6BBAA321" w:rsidR="00E054D6" w:rsidRPr="004A33D1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311" w:type="dxa"/>
          </w:tcPr>
          <w:p w14:paraId="08850575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100*5%=5</w:t>
            </w:r>
          </w:p>
        </w:tc>
        <w:tc>
          <w:tcPr>
            <w:tcW w:w="1382" w:type="dxa"/>
          </w:tcPr>
          <w:p w14:paraId="722F21BB" w14:textId="764C648E" w:rsidR="00E054D6" w:rsidRPr="00E054D6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054D6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1255" w:type="dxa"/>
          </w:tcPr>
          <w:p w14:paraId="152E0709" w14:textId="77777777" w:rsidR="00E054D6" w:rsidRPr="004A115E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A115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100*5%=5</w:t>
            </w:r>
          </w:p>
        </w:tc>
      </w:tr>
      <w:tr w:rsidR="00E054D6" w:rsidRPr="004A33D1" w14:paraId="6DAA1199" w14:textId="77777777" w:rsidTr="00185A5C">
        <w:trPr>
          <w:trHeight w:val="67"/>
          <w:jc w:val="center"/>
        </w:trPr>
        <w:tc>
          <w:tcPr>
            <w:tcW w:w="6341" w:type="dxa"/>
            <w:gridSpan w:val="4"/>
          </w:tcPr>
          <w:p w14:paraId="5BB33C8A" w14:textId="77777777" w:rsidR="00E054D6" w:rsidRPr="00E7020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7020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Razem :</w:t>
            </w:r>
          </w:p>
        </w:tc>
        <w:tc>
          <w:tcPr>
            <w:tcW w:w="1311" w:type="dxa"/>
          </w:tcPr>
          <w:p w14:paraId="062657B9" w14:textId="77777777" w:rsidR="00E054D6" w:rsidRPr="00E7020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7020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95,70</w:t>
            </w:r>
          </w:p>
        </w:tc>
        <w:tc>
          <w:tcPr>
            <w:tcW w:w="1382" w:type="dxa"/>
          </w:tcPr>
          <w:p w14:paraId="080002AB" w14:textId="77777777" w:rsidR="00E054D6" w:rsidRPr="00E7020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14:paraId="0372FEEA" w14:textId="77777777" w:rsidR="00E054D6" w:rsidRPr="00E70204" w:rsidRDefault="00E054D6" w:rsidP="00185A5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7020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92,49</w:t>
            </w:r>
          </w:p>
        </w:tc>
      </w:tr>
    </w:tbl>
    <w:p w14:paraId="7FDE7969" w14:textId="3AB0B961" w:rsidR="004A33D1" w:rsidRPr="006863DD" w:rsidRDefault="004A33D1" w:rsidP="00D46133">
      <w:pPr>
        <w:pStyle w:val="WW-Tekstpodstawowy3"/>
        <w:tabs>
          <w:tab w:val="left" w:pos="0"/>
        </w:tabs>
        <w:spacing w:after="0"/>
        <w:rPr>
          <w:sz w:val="24"/>
          <w:szCs w:val="24"/>
          <w:lang w:val="pl-PL"/>
        </w:rPr>
      </w:pPr>
    </w:p>
    <w:sectPr w:rsidR="004A33D1" w:rsidRPr="006863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A8F6" w14:textId="77777777" w:rsidR="00E67FD6" w:rsidRDefault="00E67FD6" w:rsidP="00137441">
      <w:pPr>
        <w:spacing w:line="240" w:lineRule="auto"/>
      </w:pPr>
      <w:r>
        <w:separator/>
      </w:r>
    </w:p>
  </w:endnote>
  <w:endnote w:type="continuationSeparator" w:id="0">
    <w:p w14:paraId="09D7A366" w14:textId="77777777" w:rsidR="00E67FD6" w:rsidRDefault="00E67FD6" w:rsidP="0013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442" w14:textId="77777777" w:rsidR="00137441" w:rsidRPr="00C12CFB" w:rsidRDefault="00137441" w:rsidP="00137441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Związek Powiatowo-Gminny „W</w:t>
    </w:r>
    <w:r>
      <w:rPr>
        <w:rFonts w:cstheme="minorHAnsi"/>
        <w:b/>
        <w:bCs/>
        <w:sz w:val="20"/>
        <w:szCs w:val="20"/>
      </w:rPr>
      <w:t>IELKOPOLSKI TRANSPORT REGIONALNY”</w:t>
    </w:r>
  </w:p>
  <w:p w14:paraId="61E4D562" w14:textId="77777777" w:rsidR="00137441" w:rsidRPr="00C12CFB" w:rsidRDefault="00137441" w:rsidP="00137441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61-851 Poznań ul. Zielona 8 NIP: 7831841295 REGON: 389662834</w:t>
    </w:r>
  </w:p>
  <w:p w14:paraId="22DAED4A" w14:textId="77777777" w:rsidR="00137441" w:rsidRDefault="00137441" w:rsidP="00137441">
    <w:pPr>
      <w:pStyle w:val="Stopka"/>
    </w:pPr>
  </w:p>
  <w:p w14:paraId="26C3E672" w14:textId="77777777" w:rsidR="00137441" w:rsidRDefault="00137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C2B7" w14:textId="77777777" w:rsidR="00E67FD6" w:rsidRDefault="00E67FD6" w:rsidP="00137441">
      <w:pPr>
        <w:spacing w:line="240" w:lineRule="auto"/>
      </w:pPr>
      <w:r>
        <w:separator/>
      </w:r>
    </w:p>
  </w:footnote>
  <w:footnote w:type="continuationSeparator" w:id="0">
    <w:p w14:paraId="63B2BF4D" w14:textId="77777777" w:rsidR="00E67FD6" w:rsidRDefault="00E67FD6" w:rsidP="00137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5301"/>
    <w:multiLevelType w:val="hybridMultilevel"/>
    <w:tmpl w:val="ECC04304"/>
    <w:lvl w:ilvl="0" w:tplc="E4505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1175"/>
    <w:multiLevelType w:val="hybridMultilevel"/>
    <w:tmpl w:val="AE3CB504"/>
    <w:lvl w:ilvl="0" w:tplc="4156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43216"/>
    <w:multiLevelType w:val="hybridMultilevel"/>
    <w:tmpl w:val="C08C7360"/>
    <w:lvl w:ilvl="0" w:tplc="8E02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2299">
    <w:abstractNumId w:val="0"/>
  </w:num>
  <w:num w:numId="2" w16cid:durableId="816259718">
    <w:abstractNumId w:val="1"/>
  </w:num>
  <w:num w:numId="3" w16cid:durableId="124560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E"/>
    <w:rsid w:val="000A5433"/>
    <w:rsid w:val="00127C78"/>
    <w:rsid w:val="00137441"/>
    <w:rsid w:val="001558CE"/>
    <w:rsid w:val="0016673F"/>
    <w:rsid w:val="00182FE0"/>
    <w:rsid w:val="00236FFC"/>
    <w:rsid w:val="002707D4"/>
    <w:rsid w:val="002B7EDF"/>
    <w:rsid w:val="002D464E"/>
    <w:rsid w:val="00330338"/>
    <w:rsid w:val="00342BFF"/>
    <w:rsid w:val="003526FE"/>
    <w:rsid w:val="00363FDC"/>
    <w:rsid w:val="003B56D9"/>
    <w:rsid w:val="004A1E58"/>
    <w:rsid w:val="004A33D1"/>
    <w:rsid w:val="00551811"/>
    <w:rsid w:val="00567FB8"/>
    <w:rsid w:val="005A1DEF"/>
    <w:rsid w:val="005E606B"/>
    <w:rsid w:val="00603557"/>
    <w:rsid w:val="00617257"/>
    <w:rsid w:val="006662F6"/>
    <w:rsid w:val="006C197E"/>
    <w:rsid w:val="006E0749"/>
    <w:rsid w:val="007179BF"/>
    <w:rsid w:val="00722C67"/>
    <w:rsid w:val="007522E1"/>
    <w:rsid w:val="007F563E"/>
    <w:rsid w:val="008139F0"/>
    <w:rsid w:val="008575CF"/>
    <w:rsid w:val="00884B0E"/>
    <w:rsid w:val="00890284"/>
    <w:rsid w:val="00896A22"/>
    <w:rsid w:val="008B0C83"/>
    <w:rsid w:val="008E0A76"/>
    <w:rsid w:val="008E4685"/>
    <w:rsid w:val="00915236"/>
    <w:rsid w:val="0096212E"/>
    <w:rsid w:val="00980964"/>
    <w:rsid w:val="009B5B60"/>
    <w:rsid w:val="00A064FA"/>
    <w:rsid w:val="00A25CF6"/>
    <w:rsid w:val="00A31654"/>
    <w:rsid w:val="00AA0606"/>
    <w:rsid w:val="00B362C9"/>
    <w:rsid w:val="00B463DB"/>
    <w:rsid w:val="00BA08E3"/>
    <w:rsid w:val="00BC1D3E"/>
    <w:rsid w:val="00C0165D"/>
    <w:rsid w:val="00C27CB4"/>
    <w:rsid w:val="00CA77A4"/>
    <w:rsid w:val="00CD0846"/>
    <w:rsid w:val="00CF3C35"/>
    <w:rsid w:val="00D31FA7"/>
    <w:rsid w:val="00D32E22"/>
    <w:rsid w:val="00D46133"/>
    <w:rsid w:val="00D506BC"/>
    <w:rsid w:val="00D5754D"/>
    <w:rsid w:val="00D70C41"/>
    <w:rsid w:val="00DC2BFF"/>
    <w:rsid w:val="00DD3FA4"/>
    <w:rsid w:val="00DE19E1"/>
    <w:rsid w:val="00DF78D5"/>
    <w:rsid w:val="00E054D6"/>
    <w:rsid w:val="00E23728"/>
    <w:rsid w:val="00E2622F"/>
    <w:rsid w:val="00E325AC"/>
    <w:rsid w:val="00E37628"/>
    <w:rsid w:val="00E44CB7"/>
    <w:rsid w:val="00E67FD6"/>
    <w:rsid w:val="00F07237"/>
    <w:rsid w:val="00F342DA"/>
    <w:rsid w:val="00F5114F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AEB"/>
  <w15:chartTrackingRefBased/>
  <w15:docId w15:val="{A4B08AB2-A283-412A-9623-219165F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0E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D46133"/>
    <w:pPr>
      <w:keepNext/>
      <w:widowControl/>
      <w:suppressAutoHyphens w:val="0"/>
      <w:spacing w:line="240" w:lineRule="auto"/>
      <w:outlineLvl w:val="6"/>
    </w:pPr>
    <w:rPr>
      <w:rFonts w:eastAsia="Times New Roman" w:cs="Times New Roman"/>
      <w:i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441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744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37441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744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9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0284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7Znak">
    <w:name w:val="Nagłówek 7 Znak"/>
    <w:basedOn w:val="Domylnaczcionkaakapitu"/>
    <w:link w:val="Nagwek7"/>
    <w:rsid w:val="00D46133"/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WW-Tekstpodstawowy3">
    <w:name w:val="WW-Tekst podstawowy 3"/>
    <w:basedOn w:val="Normalny"/>
    <w:rsid w:val="00D46133"/>
    <w:pPr>
      <w:widowControl/>
      <w:spacing w:after="120" w:line="240" w:lineRule="auto"/>
      <w:jc w:val="left"/>
    </w:pPr>
    <w:rPr>
      <w:rFonts w:eastAsia="Times New Roman" w:cs="Times New Roman"/>
      <w:kern w:val="0"/>
      <w:sz w:val="16"/>
      <w:szCs w:val="16"/>
      <w:lang w:val="en-US" w:eastAsia="pl-PL" w:bidi="ar-SA"/>
    </w:rPr>
  </w:style>
  <w:style w:type="paragraph" w:customStyle="1" w:styleId="Default">
    <w:name w:val="Default"/>
    <w:rsid w:val="00D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EF61-C108-4E2C-A074-5C8D023A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730</Words>
  <Characters>4381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2023-05-11T19:04:00Z</dcterms:created>
  <dcterms:modified xsi:type="dcterms:W3CDTF">2023-05-12T15:11:00Z</dcterms:modified>
</cp:coreProperties>
</file>