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5E5476">
      <w:pPr>
        <w:pStyle w:val="Nagwek1"/>
        <w:spacing w:line="360" w:lineRule="auto"/>
        <w:ind w:left="1347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6737B11" w14:textId="0CD1C18E" w:rsidR="005E5476" w:rsidRDefault="005E5476" w:rsidP="005E5476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5E5476">
        <w:rPr>
          <w:rFonts w:cstheme="minorHAnsi"/>
          <w:b/>
          <w:bCs/>
          <w:sz w:val="24"/>
          <w:szCs w:val="24"/>
          <w:lang w:val="pl-PL"/>
        </w:rPr>
        <w:t>„Zimowe utrzymanie dróg na terenie sołectw Gminy Tuchów 2021/2022 (części: Burzyn,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5E5476">
        <w:rPr>
          <w:rFonts w:cstheme="minorHAnsi"/>
          <w:b/>
          <w:bCs/>
          <w:sz w:val="24"/>
          <w:szCs w:val="24"/>
          <w:lang w:val="pl-PL"/>
        </w:rPr>
        <w:t xml:space="preserve">Łowczów, Siedliska, </w:t>
      </w:r>
      <w:r w:rsidR="00DF0AF1">
        <w:rPr>
          <w:rFonts w:cstheme="minorHAnsi"/>
          <w:b/>
          <w:bCs/>
          <w:sz w:val="24"/>
          <w:szCs w:val="24"/>
          <w:lang w:val="pl-PL"/>
        </w:rPr>
        <w:t xml:space="preserve">Trzemesna, </w:t>
      </w:r>
      <w:r w:rsidRPr="005E5476">
        <w:rPr>
          <w:rFonts w:cstheme="minorHAnsi"/>
          <w:b/>
          <w:bCs/>
          <w:sz w:val="24"/>
          <w:szCs w:val="24"/>
          <w:lang w:val="pl-PL"/>
        </w:rPr>
        <w:t>Zabłędza, Garbek, Kielanowice)”</w:t>
      </w:r>
    </w:p>
    <w:p w14:paraId="54CB6FBB" w14:textId="1D3CF443" w:rsidR="002D316B" w:rsidRPr="00CA6C29" w:rsidRDefault="009C5CAF" w:rsidP="005E5476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F6304B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E455D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0939E8DE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6678E498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9E6D1B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uprawnioną/‐ne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22569A92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F6304B">
      <w:rPr>
        <w:rFonts w:ascii="Calibri" w:hAnsi="Calibri" w:cs="Calibri"/>
        <w:b/>
        <w:bCs/>
        <w:lang w:val="pl-PL"/>
      </w:rPr>
      <w:t>7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64ACA3DF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F6304B">
      <w:rPr>
        <w:rFonts w:ascii="Calibri" w:hAnsi="Calibri" w:cs="Calibri"/>
        <w:b/>
        <w:bCs/>
        <w:lang w:val="pl-PL"/>
      </w:rPr>
      <w:t>7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147F0"/>
    <w:rsid w:val="001517C7"/>
    <w:rsid w:val="002D316B"/>
    <w:rsid w:val="005E5476"/>
    <w:rsid w:val="006C391C"/>
    <w:rsid w:val="0084045C"/>
    <w:rsid w:val="009C5CAF"/>
    <w:rsid w:val="009E6D1B"/>
    <w:rsid w:val="00C559CC"/>
    <w:rsid w:val="00CA6C29"/>
    <w:rsid w:val="00D8390F"/>
    <w:rsid w:val="00DF0AF1"/>
    <w:rsid w:val="00E455D7"/>
    <w:rsid w:val="00F6304B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14</cp:revision>
  <dcterms:created xsi:type="dcterms:W3CDTF">2021-09-30T09:40:00Z</dcterms:created>
  <dcterms:modified xsi:type="dcterms:W3CDTF">2021-10-20T13:29:00Z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