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9"/>
          <w:tab w:val="right" w:pos="4536" w:leader="underscore"/>
        </w:tabs>
        <w:spacing w:lineRule="auto" w:line="360" w:before="0" w:after="0"/>
        <w:ind w:left="0"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4536" w:leader="underscore"/>
        </w:tabs>
        <w:spacing w:lineRule="auto" w:line="240" w:before="0" w:after="0"/>
        <w:ind w:left="0"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360" w:before="160" w:after="0"/>
        <w:ind w:left="0"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9"/>
          <w:tab w:val="right" w:pos="4536" w:leader="underscore"/>
        </w:tabs>
        <w:spacing w:lineRule="auto" w:line="240" w:before="0" w:after="0"/>
        <w:ind w:left="0"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60"/>
        <w:ind w:left="0" w:righ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0" w:righ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Gmina Sędziejowice</w:t>
        <w:br/>
        <w:tab/>
        <w:tab/>
        <w:tab/>
        <w:tab/>
        <w:tab/>
        <w:tab/>
        <w:tab/>
        <w:tab/>
        <w:tab/>
        <w:tab/>
        <w:tab/>
        <w:tab/>
        <w:tab/>
        <w:tab/>
        <w:tab/>
        <w:t>ul. Wieluńska 6</w:t>
        <w:br/>
        <w:tab/>
        <w:tab/>
        <w:tab/>
        <w:tab/>
        <w:tab/>
        <w:tab/>
        <w:tab/>
        <w:tab/>
        <w:tab/>
        <w:tab/>
        <w:tab/>
        <w:tab/>
        <w:tab/>
        <w:tab/>
        <w:tab/>
        <w:t>98 – 160 Sędziejowice</w:t>
      </w:r>
    </w:p>
    <w:p>
      <w:pPr>
        <w:pStyle w:val="Normal"/>
        <w:spacing w:lineRule="auto" w:line="276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KOSZTORYS OFERTOWY</w:t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>stworzony na podstawie Załącznika Nr 6 do SWZ – opis przedmiotu zamówienia załączonego do dokumentacji, na potrzeby postępowania o udzielenie zamówienia publicznego pn. „Cyberbezpieczny Samorząd dla Gminy Sędziejowice” realizowanego w ramach Programu Fundusze Europejskie na Rozwój Cyfrowy (FERC), Priorytet II Zaawansowane usługi cyfrowe, Działanie 2.2. Wzmocnienie krajowego systemu cyberbezpieczeństwa, Europejski Fundusz Rozwoju Regionalnego (EFRR), Numer naboru FERC.02.02-CS.01-001/23.</w:t>
      </w:r>
    </w:p>
    <w:p>
      <w:pPr>
        <w:pStyle w:val="Normal"/>
        <w:spacing w:lineRule="auto" w:line="276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68"/>
        <w:gridCol w:w="7189"/>
        <w:gridCol w:w="855"/>
        <w:gridCol w:w="1350"/>
        <w:gridCol w:w="1351"/>
        <w:gridCol w:w="1348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Sprzęt serwerowy</w:t>
            </w:r>
          </w:p>
        </w:tc>
      </w:tr>
      <w:tr>
        <w:trPr>
          <w:trHeight w:val="388" w:hRule="atLeast"/>
        </w:trPr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Serwer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PowerEdge R750xs Procesor: Intel® Silver 4314 (2.4-3.4 GHz, 16 rdzeni / 32 wątki, 24 MB cache, 135 W), Pamięć RAM: 4x 64GB DDR4 RDIMM, Kontroler RAID: PERC H355, Dyski i Napędy: Obudowa 4x 3.5" HP, 2x min. 480GB SSD M.2 NVME RI, Karta sieciowa: LOM DP (Zintegrowana), Zdalne Zarządzanie: iDRAC9 Enterprise, Ramka zabezpieczająca: Ramka bez LCD, Szyny Montażowe: Szyny ruchome, Zasilanie: 2x 800W (Hot-Plug), Gwarancja: 5 lat, Zachowanie dysków twardych: 5 lat (KYHD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Komponenty serwera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Karta Dual Port (2x SFP+, 10Gb/s, SFP+, PCIe)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Macierz dyskowa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Dell EMC PowerVault ME5012 Dyski i Napędy: ME5012 12 x 3,5" Kontroler Macierzy: Kontroler iSCSI, 2x iSCSI SFP+/SFP28 25Gb/s, Okablowanie 2x 2x 5.0m DAC SFP28, Ramka zabezpieczająca: Ramka ME5, Szyny Montażowe: Szyny Rack Rails, Zasilanie: 2x 580W (Hot-Plug) Gwarancja: 5 lat ProSupport NBD, Zachowanie dysków twardych: 5 lat (KYHD)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3.5" HDD NLSAS 16TB HDD NLSAS (12Gb/s, 7.2k obr/min, Hot-Plug 3.5")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3.5" SSD SAS 1.92TB SSD SAS (12Gb/s, Read Intensive, Hot-Plug 2.5" w ramce 3.5")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Network Attached Storage (NAS)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Synology DS1821+ Procesor: AMD Ryzen V1500B, 4-core 2.2 GHz Pamięć systemowa: 4 GB DDR4 ECC SODIMM, maksymalnie: 32 GB (16 GB x 2) Wnęka dysków: 8, Maks. liczba kieszeni na dyski z jednostką rozszerzającą1 8 (DX517 x 2) + 2 kieszenie na dysk NVMe Kompatybilność dysków: 3.5" SATA HDD, 2.5" SATA HDD, 2.5" SATA SSD, M.2 2280 NVMe SSD Port LAN RJ-45 1GbE x4, Gwarancja: 3 lata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 Red SN700 SSD M.2 Pcie NVMe 2TB Interfejs: M.2, Wersja M.2: PCIe 3.0, Format M.2: 2280, Pojemność: 2000 GB Szybkość odczytu: 3400 MB/s, Szybkość zapisu: 2900 MB/s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 Red Pro 8TB Typ: HDD (magnetyczny), Format: 3.5 cala, Interfejs: Serial ATA III, Pojemność: 8000 GB Prędkość obrotowa: 7200 obr./min., Pamięć cache: 256 MB, Model: WD Red Pro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UPS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UPS Eaton 9PX3000IRT2U Zastosowanie: do szaf RACK, Moc wyjściowa pozorna: 3000 VA, Moc wyjściowa czynna: 3000 W Napięcie wejściowe: 230 V, Ilość gniazd wyjściowych: 10 szt., Waga: 27.6 kg, Gwarancja 2 lata Rodzaj gniazd: 8 x C13 | 2 x C19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0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CBF Patchcord LC-LC OM3 MM duplex 100m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CBF Patchcord LC-LC OM3 MM duplex 50m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CBF Patchcord LC-LC OM3 MM duplex 3m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81"/>
              <w:ind w:left="0" w:hanging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Moduł SFP+ RJ45 - Option SFP 1.25G RJ45 (10/100/1000) RJ01, 100m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84"/>
              <w:ind w:left="0" w:hanging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CBF Moduł SFP+ 10Gb MM 850nm 300m LC duplex DDM 10GBase-SR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0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MikroTik Cloud Router Switch CRS328-4C-20S-4S+RM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MikroTik Cloud Router Switch CRS354-48G-4S+2Q+RM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61" w:hRule="atLeast"/>
        </w:trPr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49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Zarządzalne urządzenia sieciowe z obsługą standardu 802.1X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MikroTik Cloud Core Router CCR2116-12G-4S+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MikroTik Cloud Router Switch CRS326-24G-2S+RM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MikroTik Cloud Router Switch CRS320-8P-8B-4S+RM – POE (switch do rozbudowy monitoringu urzędu -16x portów PoE)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 (moduły nadawczo/odbiorcze do połączenia światłowodami jednostki podległe do UG, oraz do monitoringu )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Opton 1,25G WDM SFP TX1310/RX1550 SM SC 3km DDM (niebieski)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Style w:val="Czeinternetowe"/>
                <w:rFonts w:ascii="Times New Roman" w:hAnsi="Times New Roman"/>
                <w:b w:val="false"/>
                <w:bCs w:val="false"/>
                <w:kern w:val="2"/>
                <w:sz w:val="16"/>
                <w:szCs w:val="16"/>
                <w:lang w:val="pl-PL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2"/>
                <w:sz w:val="16"/>
                <w:szCs w:val="16"/>
                <w:lang w:val="pl-PL" w:bidi="ar-SA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(moduły nadawczo/odbiorcze do połączenia światłowodami jednostki podległe do UG, oraz do monitoringu )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color w:val="000000" w:themeColor="text1"/>
                <w:kern w:val="2"/>
                <w:lang w:val="pl-PL" w:bidi="ar-SA"/>
              </w:rPr>
            </w:pPr>
            <w:r>
              <w:rPr>
                <w:color w:val="000000" w:themeColor="text1"/>
                <w:kern w:val="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Opton 1,25G WDM SFP TX1550/RX1310 SM SC 3km DDM (źółta)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b w:val="false"/>
                <w:bCs w:val="false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16"/>
                <w:szCs w:val="16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2468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189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55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5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2"/>
        <w:gridCol w:w="3137"/>
        <w:gridCol w:w="616"/>
        <w:gridCol w:w="941"/>
        <w:gridCol w:w="942"/>
        <w:gridCol w:w="941"/>
        <w:gridCol w:w="941"/>
        <w:gridCol w:w="941"/>
        <w:gridCol w:w="941"/>
        <w:gridCol w:w="941"/>
        <w:gridCol w:w="942"/>
        <w:gridCol w:w="939"/>
      </w:tblGrid>
      <w:tr>
        <w:trPr>
          <w:trHeight w:val="256" w:hRule="atLeast"/>
        </w:trPr>
        <w:tc>
          <w:tcPr>
            <w:tcW w:w="145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Oprogramowanie </w:t>
            </w:r>
          </w:p>
        </w:tc>
      </w:tr>
      <w:tr>
        <w:trPr>
          <w:trHeight w:val="256" w:hRule="atLeast"/>
        </w:trPr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</w:t>
            </w:r>
          </w:p>
        </w:tc>
        <w:tc>
          <w:tcPr>
            <w:tcW w:w="282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Licencje wieczyste z rocznym wsparciem</w:t>
            </w:r>
          </w:p>
        </w:tc>
        <w:tc>
          <w:tcPr>
            <w:tcW w:w="2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Wsparcie roczne dla licencji wieczystych</w:t>
            </w:r>
          </w:p>
        </w:tc>
        <w:tc>
          <w:tcPr>
            <w:tcW w:w="282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Subskrypcja roczna</w:t>
            </w:r>
          </w:p>
        </w:tc>
      </w:tr>
      <w:tr>
        <w:trPr>
          <w:trHeight w:val="388" w:hRule="atLeast"/>
        </w:trPr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antywirusowe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Bitdefender GravityZone Business Security (1 rok kontynuacja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do wykonywania kopii zapasowych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Veeam Data Platform Essentials Universal - 5 VM (wieczysta)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Licencje Microsoft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Microsoft Windows Server DataCenter 2022 x64 16Core OEM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do zarządzania i aktualizacji systemów operacyjnych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Magik Info – wsparcie (1 rok)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antywirusowe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Arista NG Firevall - wsparcie (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na okres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 rok </w:t>
            </w:r>
            <w:r>
              <w:rPr>
                <w:rFonts w:ascii="Times New Roman" w:hAnsi="Times New Roman"/>
                <w:sz w:val="16"/>
                <w:szCs w:val="16"/>
              </w:rPr>
              <w:t>do 150 urządzeń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2342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37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11"/>
        <w:gridCol w:w="5223"/>
        <w:gridCol w:w="926"/>
        <w:gridCol w:w="1700"/>
        <w:gridCol w:w="1696"/>
        <w:gridCol w:w="1705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Audyty</w:t>
            </w:r>
          </w:p>
        </w:tc>
      </w:tr>
      <w:tr>
        <w:trPr>
          <w:trHeight w:val="388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dni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>
          <w:trHeight w:val="283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Audyty bezpieczeństwa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Testy penetracyjne - 5 dni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Szkolenia powiązane z testami socjotechnicznymi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Testy socjotechniczne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 systemu bezpieczeństwa informacji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 bezpieczeństwa wymagany w ramach Projektu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3311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223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07"/>
        <w:gridCol w:w="4427"/>
        <w:gridCol w:w="926"/>
        <w:gridCol w:w="1700"/>
        <w:gridCol w:w="1696"/>
        <w:gridCol w:w="1705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Szkolenia</w:t>
            </w:r>
          </w:p>
        </w:tc>
      </w:tr>
      <w:tr>
        <w:trPr>
          <w:trHeight w:val="388" w:hRule="atLeast"/>
        </w:trPr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dni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kadry administracyjnej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pracowników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kadry informatycznej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pracowników IT/Sec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specjalistyczne dla kadry zarządzającej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menedżerów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107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27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26"/>
        <w:gridCol w:w="5108"/>
        <w:gridCol w:w="926"/>
        <w:gridCol w:w="1700"/>
        <w:gridCol w:w="1696"/>
        <w:gridCol w:w="1705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Wdrożenia</w:t>
            </w:r>
          </w:p>
        </w:tc>
      </w:tr>
      <w:tr>
        <w:trPr>
          <w:trHeight w:val="388" w:hRule="atLeast"/>
        </w:trPr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dni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systemów teleinformatycznych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klastra serwerów - do 3 serwerów + szafa RACK (ukryta)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systemów teleinformatycznych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Veeam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systemów teleinformatycznych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Magik Info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Opracowanie i wdrożenie dokumentacji SZBI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Opracowanie i wdrożenie dokumentacji SZBI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34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8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76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Kosztorys zawiera wszystkie elementy wskazane w Załączniku Nr 6 do SWZ – opis przedmiotu zamówienia.</w:t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Miejscowość …………….…………….., dnia ………….…………………... r.</w:t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0"/>
        <w:ind w:left="4536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</w:t>
      </w:r>
    </w:p>
    <w:p>
      <w:pPr>
        <w:pStyle w:val="Normal"/>
        <w:widowControl w:val="false"/>
        <w:spacing w:lineRule="auto" w:line="240" w:before="0" w:after="0"/>
        <w:ind w:left="4536" w:right="0" w:hanging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(podpis)</w:t>
        <w:br/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Cs/>
          <w:color w:val="FF0000"/>
          <w:sz w:val="20"/>
        </w:rPr>
      </w:pPr>
      <w:r>
        <w:rPr>
          <w:rFonts w:cs="Arial" w:ascii="Times New Roman" w:hAnsi="Times New Roman"/>
          <w:b/>
          <w:bCs/>
          <w:color w:val="FF0000"/>
          <w:sz w:val="20"/>
        </w:rPr>
        <w:br/>
        <w:t>Kosztorys składa się, pod rygorem nieważności, w formie elektronicznej lub w postaci elektronicznej opatrzonej podpisem zaufanym lub podpisem osobistym.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1134" w:top="2521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40170" cy="66738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1781810</wp:posOffset>
          </wp:positionH>
          <wp:positionV relativeFrom="page">
            <wp:posOffset>871855</wp:posOffset>
          </wp:positionV>
          <wp:extent cx="1676400" cy="4508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3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5913120</wp:posOffset>
          </wp:positionH>
          <wp:positionV relativeFrom="page">
            <wp:posOffset>883285</wp:posOffset>
          </wp:positionV>
          <wp:extent cx="1676400" cy="45085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Nr postępowania: RW.VI.271.17.2024</w:t>
      <w:tab/>
      <w:tab/>
      <w:t xml:space="preserve">Załącznik Nr 7 do SWZ 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Hyperlink"/>
    <w:basedOn w:val="DefaultParagraphFont"/>
    <w:rPr>
      <w:color w:val="0563C1" w:themeColor="hyperlink"/>
      <w:u w:val="single"/>
    </w:rPr>
  </w:style>
  <w:style w:type="character" w:styleId="Odwiedzoneczeinternetowe">
    <w:name w:val="FollowedHyperlink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</TotalTime>
  <Application>LibreOffice/7.5.1.2$Windows_X86_64 LibreOffice_project/fcbaee479e84c6cd81291587d2ee68cba099e129</Application>
  <AppVersion>15.0000</AppVersion>
  <Pages>4</Pages>
  <Words>963</Words>
  <Characters>5838</Characters>
  <CharactersWithSpaces>6813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2024-08-19T14:02:46Z</dcterms:created>
  <dc:creator/>
  <dc:description/>
  <dc:language>pl-PL</dc:language>
  <cp:lastModifiedBy/>
  <cp:lastPrinted>2024-08-20T15:18:21Z</cp:lastPrinted>
  <dcterms:modified xsi:type="dcterms:W3CDTF">2024-09-25T11:20:06Z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