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KR-01/18/22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bookmarkStart w:id="0" w:name="_GoBack"/>
      <w:bookmarkEnd w:id="0"/>
      <w:r w:rsidRPr="00E01AC5">
        <w:rPr>
          <w:rFonts w:asciiTheme="minorHAnsi" w:hAnsiTheme="minorHAnsi" w:cstheme="minorHAnsi"/>
          <w:lang w:eastAsia="ar-SA"/>
        </w:rPr>
        <w:t xml:space="preserve">         Balice, 18.07.2022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Pr="00E01AC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E01AC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E01AC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E01AC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Pr="00E01AC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W nawiązaniu do ogłoszonego postępowania zwracam się z uprzejmą prośbą o wyjaśnienie treści SWZ w poniższym zakresie.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W opisie przedmiotu zamówienia określono następujące parametry kamer: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- kamera IP nr 2: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obiektyw - 2.8mm / F1.4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Kąty widzenia - Poziomo: 101° ~ 31° pionowo: 72,2° ~ 23,4°, przekątna: 138,8° ~ 39,8°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- kamera IP nr 3: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obiektyw - 2.8mm / F1.6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Kąty widzenia - Poziomo: 101° ~ 31° pionowo: 72,2° ~ 23,4°, przekątna: 138,8° ~ 39,8°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Wyszczególnione parametry kątów widzenia wskazują, że obiektyw ma być ze zmienną ogniskową soczewki, zaś wyszczególnione parametry obiektywu wskazują na zastosowanie soczewki ze stałą ogniskową.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Który parametr jest ważniejszy, decydujący o spełnieniu wymagań technicznych dla tych kamer?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hAnsiTheme="minorHAnsi" w:cstheme="minorHAnsi"/>
        </w:rPr>
        <w:t>Czy Zamawiający dopuszcza soczewki ze stałą ogniskową (tym samym zmienią się kąty widzenia na stałe) czy jednak soczewki mają być ze zmienną ogniskową?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</w:rPr>
      </w:pPr>
      <w:r w:rsidRPr="00E01AC5">
        <w:rPr>
          <w:rFonts w:asciiTheme="minorHAnsi" w:hAnsiTheme="minorHAnsi" w:cstheme="minorHAnsi"/>
        </w:rPr>
        <w:t>Zamawiający dopuszcza soczewki ze stałą ogniskową (tym samym zmienią się kąty widzenia na stałe).</w:t>
      </w:r>
    </w:p>
    <w:p w:rsidR="00E01AC5" w:rsidRPr="00E01AC5" w:rsidRDefault="00E01AC5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89F"/>
    <w:rsid w:val="00CB0D94"/>
    <w:rsid w:val="00CB3D72"/>
    <w:rsid w:val="00CC7590"/>
    <w:rsid w:val="00D16330"/>
    <w:rsid w:val="00D64E9F"/>
    <w:rsid w:val="00DA545A"/>
    <w:rsid w:val="00E01AC5"/>
    <w:rsid w:val="00E12095"/>
    <w:rsid w:val="00E64368"/>
    <w:rsid w:val="00EC0F0E"/>
    <w:rsid w:val="00F15FA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887C7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CBC5-EB3D-44E3-A159-5A01CF5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26</cp:revision>
  <cp:lastPrinted>2022-07-18T07:34:00Z</cp:lastPrinted>
  <dcterms:created xsi:type="dcterms:W3CDTF">2022-01-31T09:00:00Z</dcterms:created>
  <dcterms:modified xsi:type="dcterms:W3CDTF">2022-07-18T07:34:00Z</dcterms:modified>
</cp:coreProperties>
</file>