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9A76F" w14:textId="1B57E7A8" w:rsidR="00CE0D38" w:rsidRDefault="00CE0D38" w:rsidP="00CE0D38">
      <w:pPr>
        <w:jc w:val="right"/>
        <w:rPr>
          <w:rFonts w:ascii="Arial" w:hAnsi="Arial" w:cs="Arial"/>
        </w:rPr>
      </w:pPr>
      <w:r w:rsidRPr="00CE0D38">
        <w:rPr>
          <w:rFonts w:ascii="Arial" w:hAnsi="Arial" w:cs="Arial"/>
        </w:rPr>
        <w:t>ZAŁĄCZNIK NR 8 DO SWZ</w:t>
      </w:r>
    </w:p>
    <w:p w14:paraId="522178D0" w14:textId="77777777" w:rsidR="00CE0D38" w:rsidRDefault="00CE0D38" w:rsidP="00CE0D38">
      <w:pPr>
        <w:jc w:val="center"/>
        <w:rPr>
          <w:rFonts w:ascii="Arial" w:hAnsi="Arial" w:cs="Arial"/>
        </w:rPr>
      </w:pPr>
    </w:p>
    <w:p w14:paraId="3FEA853B" w14:textId="77777777" w:rsidR="00CE0D38" w:rsidRDefault="00CE0D38" w:rsidP="00CE0D38">
      <w:pPr>
        <w:jc w:val="center"/>
        <w:rPr>
          <w:rFonts w:ascii="Arial" w:hAnsi="Arial" w:cs="Arial"/>
        </w:rPr>
      </w:pPr>
    </w:p>
    <w:p w14:paraId="728B4B08" w14:textId="6924B2C1" w:rsidR="00CE0D38" w:rsidRPr="00CE0D38" w:rsidRDefault="00CE0D38" w:rsidP="00CE0D3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E0D38">
        <w:rPr>
          <w:rFonts w:ascii="Arial" w:hAnsi="Arial" w:cs="Arial"/>
          <w:b/>
          <w:bCs/>
          <w:sz w:val="28"/>
          <w:szCs w:val="28"/>
        </w:rPr>
        <w:t>OPIS PRZEDMIOTU ZAMÓWIENIA</w:t>
      </w:r>
    </w:p>
    <w:p w14:paraId="1B31F982" w14:textId="77777777" w:rsidR="00CE0D38" w:rsidRDefault="00CE0D38"/>
    <w:p w14:paraId="433F5C3E" w14:textId="77777777" w:rsidR="00CE0D38" w:rsidRDefault="00CE0D38"/>
    <w:p w14:paraId="28D746CE" w14:textId="38CF169C" w:rsidR="00CE0D38" w:rsidRDefault="00CE0D38" w:rsidP="00CE0D38">
      <w:pPr>
        <w:jc w:val="both"/>
        <w:rPr>
          <w:rFonts w:ascii="Arial" w:hAnsi="Arial" w:cs="Arial"/>
        </w:rPr>
      </w:pPr>
      <w:r w:rsidRPr="00CE0D38">
        <w:rPr>
          <w:rFonts w:ascii="Arial" w:hAnsi="Arial" w:cs="Arial"/>
        </w:rPr>
        <w:t xml:space="preserve">Przedmiotem niniejszego postępowania jest budowa zabudowy mieszkaniowej wielorodzinnej wraz z zagospodarowaniem terenu i niezbędną infrastrukturą techniczną tj. realizacja zadania </w:t>
      </w:r>
      <w:proofErr w:type="spellStart"/>
      <w:r w:rsidRPr="00CE0D38">
        <w:rPr>
          <w:rFonts w:ascii="Arial" w:hAnsi="Arial" w:cs="Arial"/>
        </w:rPr>
        <w:t>pn</w:t>
      </w:r>
      <w:proofErr w:type="spellEnd"/>
      <w:r w:rsidRPr="00CE0D38">
        <w:rPr>
          <w:rFonts w:ascii="Arial" w:hAnsi="Arial" w:cs="Arial"/>
        </w:rPr>
        <w:t>.:„Budowa Zespołu Budynków mieszkalnych wielorodzinnych z usługami – Opole, ul. Prószkowska”</w:t>
      </w:r>
    </w:p>
    <w:p w14:paraId="30D02F3D" w14:textId="7BA326C0" w:rsidR="00CE0D38" w:rsidRDefault="00CD0EEC" w:rsidP="00CE0D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Nr postępowania</w:t>
      </w:r>
      <w:r w:rsidR="00CE0D38" w:rsidRPr="00CD0E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ZP-I/2021</w:t>
      </w:r>
    </w:p>
    <w:p w14:paraId="0B419AB8" w14:textId="77777777" w:rsidR="008A47A3" w:rsidRDefault="008A47A3" w:rsidP="008A47A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  <w:t>Przedmiotem zamówienia we Wspólnym Słowniku Zamówień (CPV) jest oznaczony kodami numerycznymi:</w:t>
      </w:r>
    </w:p>
    <w:p w14:paraId="6ED94DF9" w14:textId="77777777" w:rsidR="008A47A3" w:rsidRDefault="008A47A3" w:rsidP="008A47A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</w:rPr>
        <w:tab/>
        <w:t>45211340-4 : Roboty budowlane w zakresie budownictwa wielorodzinnego,</w:t>
      </w:r>
    </w:p>
    <w:p w14:paraId="21912E17" w14:textId="77777777" w:rsidR="008A47A3" w:rsidRDefault="008A47A3" w:rsidP="008A47A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</w:rPr>
        <w:tab/>
        <w:t>45111200-0 : Roboty w zakresie przygotowywania terenu pod budowę i roboty ziemne,</w:t>
      </w:r>
    </w:p>
    <w:p w14:paraId="59A1D9BB" w14:textId="77777777" w:rsidR="008A47A3" w:rsidRDefault="008A47A3" w:rsidP="008A47A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</w:rPr>
        <w:tab/>
        <w:t>45111291-4 : Roboty w zakresie zagospodarowania terenu,</w:t>
      </w:r>
    </w:p>
    <w:p w14:paraId="312ACFAC" w14:textId="77777777" w:rsidR="008A47A3" w:rsidRDefault="008A47A3" w:rsidP="008A47A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</w:rPr>
        <w:tab/>
        <w:t>45233120-6 : Roboty w zakresie budowy dróg.</w:t>
      </w:r>
    </w:p>
    <w:p w14:paraId="526DD32C" w14:textId="77777777" w:rsidR="008A47A3" w:rsidRDefault="008A47A3" w:rsidP="008A47A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  <w:t>Przedmiotem zamówienia jest wykonanie na rzecz Zamawiającego przedsięwzięcia inwestycyjno-budowlanego, polegającego na wybudowaniu „Zespołu budynków mieszkalnych wielorodzinnych z usługami”.</w:t>
      </w:r>
    </w:p>
    <w:p w14:paraId="5A4B2915" w14:textId="77777777" w:rsidR="008A47A3" w:rsidRDefault="008A47A3" w:rsidP="008A47A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Zaprojektowany zespół budynków składa się z czterech budynków o czterech kondygnacjach nadziemnych oraz  zawiera zagospodarowanie terenu przylegającego min. ciągami pieszymi, placami, parkingami. W części piwnic usytuowane są: komórki lokatorskie, magazyny dla lokali usługowych, pomieszczenia techniczne i gospodarcze. Budynki murowane są w technologii tradycyjnej, usztywnienia z rdzeni żelbetowych, stropy żelbetowe monolityczne, dach płaski - 3. Biegi schodowe i szyby windowe w budynkach są żelbetowe, monolityczne. Posadowienie obiektów zaprojektowane jest jako bezpośrednie na gruncie na ławach fundamentowych.</w:t>
      </w:r>
    </w:p>
    <w:p w14:paraId="1073EC44" w14:textId="77777777" w:rsidR="008A47A3" w:rsidRDefault="008A47A3" w:rsidP="008A47A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Szczegółowy zakres zamierzenia jest następujący:</w:t>
      </w:r>
    </w:p>
    <w:p w14:paraId="4A3B93D1" w14:textId="77777777" w:rsidR="008A47A3" w:rsidRDefault="008A47A3" w:rsidP="008A47A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1)</w:t>
      </w:r>
      <w:r>
        <w:rPr>
          <w:rFonts w:ascii="Arial" w:eastAsia="Arial" w:hAnsi="Arial" w:cs="Arial"/>
          <w:color w:val="000000"/>
        </w:rPr>
        <w:tab/>
        <w:t>zabudowa wielorodzinna z lokalami przeznaczonymi na usługi w postaci 4 budynków z czterema kondygnacjami naziemnymi i jedną kondygnacją podziemną ( łącznie 159 lokali mieszkalnych i 5 lokali usługowych);</w:t>
      </w:r>
    </w:p>
    <w:p w14:paraId="6AA28BB8" w14:textId="77777777" w:rsidR="008A47A3" w:rsidRDefault="008A47A3" w:rsidP="008A47A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2)</w:t>
      </w:r>
      <w:r>
        <w:rPr>
          <w:rFonts w:ascii="Arial" w:eastAsia="Arial" w:hAnsi="Arial" w:cs="Arial"/>
          <w:color w:val="000000"/>
        </w:rPr>
        <w:tab/>
        <w:t>ciąg pieszo-jezdny i miejsca postojowe zlokalizowane na parkingu nadziemnym, w tym miejsca przeznaczone dla usług (łącznie 253 miejsc postojowych);</w:t>
      </w:r>
    </w:p>
    <w:p w14:paraId="78D70707" w14:textId="77777777" w:rsidR="008A47A3" w:rsidRPr="00674023" w:rsidRDefault="008A47A3" w:rsidP="008A47A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3</w:t>
      </w:r>
      <w:r w:rsidRPr="00674023">
        <w:rPr>
          <w:rFonts w:ascii="Arial" w:eastAsia="Arial" w:hAnsi="Arial" w:cs="Arial"/>
        </w:rPr>
        <w:t>)</w:t>
      </w:r>
      <w:r w:rsidRPr="00674023">
        <w:rPr>
          <w:rFonts w:ascii="Arial" w:eastAsia="Arial" w:hAnsi="Arial" w:cs="Arial"/>
        </w:rPr>
        <w:tab/>
        <w:t>ciągi piesze i plac rekreacji przydomowej;</w:t>
      </w:r>
    </w:p>
    <w:p w14:paraId="6C359B0A" w14:textId="77777777" w:rsidR="008A47A3" w:rsidRPr="00674023" w:rsidRDefault="008A47A3" w:rsidP="008A47A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</w:rPr>
      </w:pPr>
      <w:r w:rsidRPr="00674023">
        <w:rPr>
          <w:rFonts w:ascii="Arial" w:eastAsia="Arial" w:hAnsi="Arial" w:cs="Arial"/>
        </w:rPr>
        <w:t>4)</w:t>
      </w:r>
      <w:r w:rsidRPr="00674023">
        <w:rPr>
          <w:rFonts w:ascii="Arial" w:eastAsia="Arial" w:hAnsi="Arial" w:cs="Arial"/>
        </w:rPr>
        <w:tab/>
        <w:t>tereny zielone;</w:t>
      </w:r>
    </w:p>
    <w:p w14:paraId="5F89C671" w14:textId="77777777" w:rsidR="008A47A3" w:rsidRPr="00674023" w:rsidRDefault="008A47A3" w:rsidP="008A47A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</w:rPr>
      </w:pPr>
      <w:r w:rsidRPr="00674023">
        <w:rPr>
          <w:rFonts w:ascii="Arial" w:eastAsia="Arial" w:hAnsi="Arial" w:cs="Arial"/>
        </w:rPr>
        <w:t>5)</w:t>
      </w:r>
      <w:r w:rsidRPr="00674023">
        <w:rPr>
          <w:rFonts w:ascii="Arial" w:eastAsia="Arial" w:hAnsi="Arial" w:cs="Arial"/>
        </w:rPr>
        <w:tab/>
        <w:t>infrastruktura podziemna na potrzeby zespołu zabudowy: kanalizacji deszczowej, energii elektrycznej, instalacji gazowej, telekomunikacji, oświetlenie terenu .</w:t>
      </w:r>
    </w:p>
    <w:p w14:paraId="438EC7F9" w14:textId="77777777" w:rsidR="008A47A3" w:rsidRPr="00674023" w:rsidRDefault="008A47A3" w:rsidP="008A47A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</w:rPr>
      </w:pPr>
    </w:p>
    <w:p w14:paraId="579A7D03" w14:textId="77777777" w:rsidR="008A47A3" w:rsidRPr="00674023" w:rsidRDefault="008A47A3" w:rsidP="008A47A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</w:rPr>
      </w:pPr>
      <w:r w:rsidRPr="00674023">
        <w:rPr>
          <w:rFonts w:ascii="Arial" w:eastAsia="Arial" w:hAnsi="Arial" w:cs="Arial"/>
        </w:rPr>
        <w:lastRenderedPageBreak/>
        <w:t>3.</w:t>
      </w:r>
      <w:r w:rsidRPr="00674023">
        <w:rPr>
          <w:rFonts w:ascii="Arial" w:eastAsia="Arial" w:hAnsi="Arial" w:cs="Arial"/>
        </w:rPr>
        <w:tab/>
        <w:t>Charakterystyka zespołu budynków i terenu wokół:</w:t>
      </w:r>
    </w:p>
    <w:p w14:paraId="5CBAC8F6" w14:textId="77777777" w:rsidR="008A47A3" w:rsidRPr="00674023" w:rsidRDefault="008A47A3" w:rsidP="008A47A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</w:rPr>
      </w:pPr>
      <w:r w:rsidRPr="00674023">
        <w:rPr>
          <w:rFonts w:ascii="Arial" w:eastAsia="Arial" w:hAnsi="Arial" w:cs="Arial"/>
        </w:rPr>
        <w:t>1)</w:t>
      </w:r>
      <w:r w:rsidRPr="00674023">
        <w:rPr>
          <w:rFonts w:ascii="Arial" w:eastAsia="Arial" w:hAnsi="Arial" w:cs="Arial"/>
        </w:rPr>
        <w:tab/>
        <w:t>Powierzchnia działki</w:t>
      </w:r>
      <w:r w:rsidRPr="00674023">
        <w:rPr>
          <w:rFonts w:ascii="Arial" w:eastAsia="Arial" w:hAnsi="Arial" w:cs="Arial"/>
        </w:rPr>
        <w:tab/>
      </w:r>
      <w:r w:rsidRPr="00674023">
        <w:rPr>
          <w:rFonts w:ascii="Arial" w:eastAsia="Arial" w:hAnsi="Arial" w:cs="Arial"/>
        </w:rPr>
        <w:tab/>
      </w:r>
      <w:r w:rsidRPr="00674023">
        <w:rPr>
          <w:rFonts w:ascii="Arial" w:eastAsia="Arial" w:hAnsi="Arial" w:cs="Arial"/>
        </w:rPr>
        <w:tab/>
        <w:t xml:space="preserve">-   </w:t>
      </w:r>
      <w:r w:rsidRPr="00EE2D4B">
        <w:rPr>
          <w:rFonts w:ascii="Arial" w:eastAsia="Arial" w:hAnsi="Arial" w:cs="Arial"/>
          <w:b/>
          <w:bCs/>
        </w:rPr>
        <w:t>27 015.54 m2</w:t>
      </w:r>
      <w:r w:rsidRPr="00674023">
        <w:rPr>
          <w:rFonts w:ascii="Arial" w:eastAsia="Arial" w:hAnsi="Arial" w:cs="Arial"/>
        </w:rPr>
        <w:t xml:space="preserve">  (100.00 %);</w:t>
      </w:r>
    </w:p>
    <w:p w14:paraId="04BC5C4A" w14:textId="77777777" w:rsidR="008A47A3" w:rsidRDefault="008A47A3" w:rsidP="008A47A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  <w:r w:rsidRPr="00674023">
        <w:rPr>
          <w:rFonts w:ascii="Arial" w:eastAsia="Arial" w:hAnsi="Arial" w:cs="Arial"/>
        </w:rPr>
        <w:t>2)</w:t>
      </w:r>
      <w:r w:rsidRPr="00674023">
        <w:rPr>
          <w:rFonts w:ascii="Arial" w:eastAsia="Arial" w:hAnsi="Arial" w:cs="Arial"/>
        </w:rPr>
        <w:tab/>
        <w:t>Powierzchnia zabudowy</w:t>
      </w:r>
      <w:r w:rsidRPr="00674023">
        <w:rPr>
          <w:rFonts w:ascii="Arial" w:eastAsia="Arial" w:hAnsi="Arial" w:cs="Arial"/>
        </w:rPr>
        <w:tab/>
      </w:r>
      <w:r w:rsidRPr="00674023">
        <w:rPr>
          <w:rFonts w:ascii="Arial" w:eastAsia="Arial" w:hAnsi="Arial" w:cs="Arial"/>
        </w:rPr>
        <w:tab/>
        <w:t xml:space="preserve">-     </w:t>
      </w:r>
      <w:r w:rsidRPr="00EE2D4B">
        <w:rPr>
          <w:rFonts w:ascii="Arial" w:eastAsia="Arial" w:hAnsi="Arial" w:cs="Arial"/>
          <w:b/>
          <w:bCs/>
        </w:rPr>
        <w:t xml:space="preserve">2 901.24 </w:t>
      </w:r>
      <w:r w:rsidRPr="00EE2D4B">
        <w:rPr>
          <w:rFonts w:ascii="Arial" w:eastAsia="Arial" w:hAnsi="Arial" w:cs="Arial"/>
          <w:b/>
          <w:bCs/>
          <w:color w:val="000000"/>
        </w:rPr>
        <w:t>m2</w:t>
      </w:r>
      <w:r>
        <w:rPr>
          <w:rFonts w:ascii="Arial" w:eastAsia="Arial" w:hAnsi="Arial" w:cs="Arial"/>
          <w:color w:val="000000"/>
        </w:rPr>
        <w:t xml:space="preserve">  (   10.74 %),  w tym:</w:t>
      </w:r>
    </w:p>
    <w:p w14:paraId="492D2AF8" w14:textId="77777777" w:rsidR="008A47A3" w:rsidRDefault="008A47A3" w:rsidP="008A47A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Powierzchnia zabudowy A2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-       </w:t>
      </w:r>
      <w:r w:rsidRPr="00EE2D4B">
        <w:rPr>
          <w:rFonts w:ascii="Arial" w:eastAsia="Arial" w:hAnsi="Arial" w:cs="Arial"/>
          <w:b/>
          <w:bCs/>
          <w:color w:val="000000"/>
        </w:rPr>
        <w:t>834.23 m²,</w:t>
      </w:r>
    </w:p>
    <w:p w14:paraId="64D64CC0" w14:textId="77777777" w:rsidR="008A47A3" w:rsidRDefault="008A47A3" w:rsidP="008A47A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Powierzchnia zabudowy A3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-       </w:t>
      </w:r>
      <w:r w:rsidRPr="00EE2D4B">
        <w:rPr>
          <w:rFonts w:ascii="Arial" w:eastAsia="Arial" w:hAnsi="Arial" w:cs="Arial"/>
          <w:b/>
          <w:bCs/>
          <w:color w:val="000000"/>
        </w:rPr>
        <w:t>398.55 m²,</w:t>
      </w:r>
    </w:p>
    <w:p w14:paraId="0C4B47BB" w14:textId="77777777" w:rsidR="008A47A3" w:rsidRDefault="008A47A3" w:rsidP="008A47A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Powierzchnia zabudowy A4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-       </w:t>
      </w:r>
      <w:r w:rsidRPr="00EE2D4B">
        <w:rPr>
          <w:rFonts w:ascii="Arial" w:eastAsia="Arial" w:hAnsi="Arial" w:cs="Arial"/>
          <w:b/>
          <w:bCs/>
          <w:color w:val="000000"/>
        </w:rPr>
        <w:t>834.23 m²,</w:t>
      </w:r>
    </w:p>
    <w:p w14:paraId="3F0B8C94" w14:textId="77777777" w:rsidR="008A47A3" w:rsidRDefault="008A47A3" w:rsidP="008A47A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Powierzchnia zabudowy A5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-       </w:t>
      </w:r>
      <w:r w:rsidRPr="00EE2D4B">
        <w:rPr>
          <w:rFonts w:ascii="Arial" w:eastAsia="Arial" w:hAnsi="Arial" w:cs="Arial"/>
          <w:b/>
          <w:bCs/>
          <w:color w:val="000000"/>
        </w:rPr>
        <w:t>834.23 m²:</w:t>
      </w:r>
    </w:p>
    <w:p w14:paraId="391CD3B8" w14:textId="77777777" w:rsidR="008A47A3" w:rsidRDefault="008A47A3" w:rsidP="008A47A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3)</w:t>
      </w:r>
      <w:r>
        <w:rPr>
          <w:rFonts w:ascii="Arial" w:eastAsia="Arial" w:hAnsi="Arial" w:cs="Arial"/>
          <w:color w:val="000000"/>
        </w:rPr>
        <w:tab/>
        <w:t xml:space="preserve"> Powierzchnia utwardzona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-       </w:t>
      </w:r>
      <w:r w:rsidRPr="00EE2D4B">
        <w:rPr>
          <w:rFonts w:ascii="Arial" w:eastAsia="Arial" w:hAnsi="Arial" w:cs="Arial"/>
          <w:b/>
          <w:bCs/>
          <w:color w:val="000000"/>
        </w:rPr>
        <w:t>9 666.03 m² (  35.78 %);</w:t>
      </w:r>
    </w:p>
    <w:p w14:paraId="21F31E66" w14:textId="77777777" w:rsidR="008A47A3" w:rsidRDefault="008A47A3" w:rsidP="008A47A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4)</w:t>
      </w:r>
      <w:r>
        <w:rPr>
          <w:rFonts w:ascii="Arial" w:eastAsia="Arial" w:hAnsi="Arial" w:cs="Arial"/>
          <w:color w:val="000000"/>
        </w:rPr>
        <w:tab/>
        <w:t xml:space="preserve"> Powierzchnia biologicznie czynna</w:t>
      </w:r>
      <w:r>
        <w:rPr>
          <w:rFonts w:ascii="Arial" w:eastAsia="Arial" w:hAnsi="Arial" w:cs="Arial"/>
          <w:color w:val="000000"/>
        </w:rPr>
        <w:tab/>
        <w:t xml:space="preserve">-      </w:t>
      </w:r>
      <w:r w:rsidRPr="00EE2D4B">
        <w:rPr>
          <w:rFonts w:ascii="Arial" w:eastAsia="Arial" w:hAnsi="Arial" w:cs="Arial"/>
          <w:b/>
          <w:bCs/>
          <w:color w:val="000000"/>
        </w:rPr>
        <w:t>14 448.27 m²  (  53.48 %);</w:t>
      </w:r>
    </w:p>
    <w:p w14:paraId="06E1FFC2" w14:textId="77777777" w:rsidR="008A47A3" w:rsidRDefault="008A47A3" w:rsidP="008A47A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5)</w:t>
      </w:r>
      <w:r>
        <w:rPr>
          <w:rFonts w:ascii="Arial" w:eastAsia="Arial" w:hAnsi="Arial" w:cs="Arial"/>
          <w:color w:val="000000"/>
        </w:rPr>
        <w:tab/>
        <w:t xml:space="preserve"> Powierzchnia zieleni urządzonej</w:t>
      </w:r>
      <w:r>
        <w:rPr>
          <w:rFonts w:ascii="Arial" w:eastAsia="Arial" w:hAnsi="Arial" w:cs="Arial"/>
          <w:color w:val="000000"/>
        </w:rPr>
        <w:tab/>
        <w:t xml:space="preserve">-      </w:t>
      </w:r>
      <w:r w:rsidRPr="00EE2D4B">
        <w:rPr>
          <w:rFonts w:ascii="Arial" w:eastAsia="Arial" w:hAnsi="Arial" w:cs="Arial"/>
          <w:b/>
          <w:bCs/>
          <w:color w:val="000000"/>
        </w:rPr>
        <w:t>5 406.64 m² (  20.01 %);</w:t>
      </w:r>
    </w:p>
    <w:p w14:paraId="271D5AA5" w14:textId="77777777" w:rsidR="008A47A3" w:rsidRDefault="008A47A3" w:rsidP="008A47A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6)</w:t>
      </w:r>
      <w:r>
        <w:rPr>
          <w:rFonts w:ascii="Arial" w:eastAsia="Arial" w:hAnsi="Arial" w:cs="Arial"/>
          <w:color w:val="000000"/>
        </w:rPr>
        <w:tab/>
        <w:t>Ilość miejsc postojowych: 253 sztuk;</w:t>
      </w:r>
    </w:p>
    <w:p w14:paraId="2C2B2304" w14:textId="77777777" w:rsidR="008A47A3" w:rsidRDefault="008A47A3" w:rsidP="008A47A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7)</w:t>
      </w:r>
      <w:r>
        <w:rPr>
          <w:rFonts w:ascii="Arial" w:eastAsia="Arial" w:hAnsi="Arial" w:cs="Arial"/>
          <w:color w:val="000000"/>
        </w:rPr>
        <w:tab/>
        <w:t xml:space="preserve">Powierzchnia użytkowa lokali mieszkalnych (159 lokali) </w:t>
      </w:r>
      <w:r w:rsidRPr="00EE2D4B">
        <w:rPr>
          <w:rFonts w:ascii="Arial" w:eastAsia="Arial" w:hAnsi="Arial" w:cs="Arial"/>
          <w:b/>
          <w:bCs/>
          <w:color w:val="000000"/>
        </w:rPr>
        <w:t>7 741,32m²,</w:t>
      </w:r>
      <w:r>
        <w:rPr>
          <w:rFonts w:ascii="Arial" w:eastAsia="Arial" w:hAnsi="Arial" w:cs="Arial"/>
          <w:color w:val="000000"/>
        </w:rPr>
        <w:t xml:space="preserve"> w tym:</w:t>
      </w:r>
    </w:p>
    <w:p w14:paraId="0DEB1757" w14:textId="77777777" w:rsidR="008A47A3" w:rsidRDefault="008A47A3" w:rsidP="008A47A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- Powierzchnia użytkowa lokali mieszkalnych  A2 (48 lokali) – </w:t>
      </w:r>
      <w:r w:rsidRPr="00EE2D4B">
        <w:rPr>
          <w:rFonts w:ascii="Arial" w:eastAsia="Arial" w:hAnsi="Arial" w:cs="Arial"/>
          <w:b/>
          <w:bCs/>
          <w:color w:val="000000"/>
        </w:rPr>
        <w:t>2 300.88 m²,</w:t>
      </w:r>
    </w:p>
    <w:p w14:paraId="0EEB11A4" w14:textId="77777777" w:rsidR="008A47A3" w:rsidRDefault="008A47A3" w:rsidP="008A47A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- Powierzchnia użytkowa lokali mieszkalnych  A3 (15 lokali) – </w:t>
      </w:r>
      <w:r w:rsidRPr="00EE2D4B">
        <w:rPr>
          <w:rFonts w:ascii="Arial" w:eastAsia="Arial" w:hAnsi="Arial" w:cs="Arial"/>
          <w:b/>
          <w:bCs/>
          <w:color w:val="000000"/>
        </w:rPr>
        <w:t>838.68 m²,</w:t>
      </w:r>
    </w:p>
    <w:p w14:paraId="6B107A6C" w14:textId="77777777" w:rsidR="008A47A3" w:rsidRDefault="008A47A3" w:rsidP="008A47A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- Powierzchnia użytkowa lokali mieszkalnych  A4 (48 lokali) – </w:t>
      </w:r>
      <w:r w:rsidRPr="00EE2D4B">
        <w:rPr>
          <w:rFonts w:ascii="Arial" w:eastAsia="Arial" w:hAnsi="Arial" w:cs="Arial"/>
          <w:b/>
          <w:bCs/>
          <w:color w:val="000000"/>
        </w:rPr>
        <w:t>2 300.88 m²,</w:t>
      </w:r>
    </w:p>
    <w:p w14:paraId="723563C3" w14:textId="77777777" w:rsidR="008A47A3" w:rsidRDefault="008A47A3" w:rsidP="008A47A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- Powierzchnia użytkowa lokali mieszkalnych  A5 (48 lokali) – </w:t>
      </w:r>
      <w:r w:rsidRPr="00EE2D4B">
        <w:rPr>
          <w:rFonts w:ascii="Arial" w:eastAsia="Arial" w:hAnsi="Arial" w:cs="Arial"/>
          <w:b/>
          <w:bCs/>
          <w:color w:val="000000"/>
        </w:rPr>
        <w:t>2 300.88 m²;</w:t>
      </w:r>
    </w:p>
    <w:p w14:paraId="05412AA7" w14:textId="77777777" w:rsidR="008A47A3" w:rsidRPr="00EE2D4B" w:rsidRDefault="008A47A3" w:rsidP="008A47A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b/>
          <w:bCs/>
          <w:color w:val="FF0000"/>
        </w:rPr>
      </w:pPr>
      <w:r>
        <w:rPr>
          <w:rFonts w:ascii="Arial" w:eastAsia="Arial" w:hAnsi="Arial" w:cs="Arial"/>
          <w:color w:val="000000"/>
        </w:rPr>
        <w:t>8)</w:t>
      </w:r>
      <w:r>
        <w:rPr>
          <w:rFonts w:ascii="Arial" w:eastAsia="Arial" w:hAnsi="Arial" w:cs="Arial"/>
          <w:color w:val="000000"/>
        </w:rPr>
        <w:tab/>
        <w:t xml:space="preserve">Powierzchnia użytkowa lokali usługowych (5 lokali) 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 (budynek A3) – </w:t>
      </w:r>
      <w:r w:rsidRPr="009A0487">
        <w:rPr>
          <w:rFonts w:ascii="Arial" w:eastAsia="Arial" w:hAnsi="Arial" w:cs="Arial"/>
          <w:b/>
          <w:bCs/>
        </w:rPr>
        <w:t>261,34 m²;</w:t>
      </w:r>
    </w:p>
    <w:p w14:paraId="300DF10E" w14:textId="77777777" w:rsidR="008A47A3" w:rsidRDefault="008A47A3" w:rsidP="008A47A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9)</w:t>
      </w:r>
      <w:r>
        <w:rPr>
          <w:rFonts w:ascii="Arial" w:eastAsia="Arial" w:hAnsi="Arial" w:cs="Arial"/>
          <w:color w:val="000000"/>
        </w:rPr>
        <w:tab/>
        <w:t>Kubatura: 38 581,21 m³, w tym:</w:t>
      </w:r>
    </w:p>
    <w:p w14:paraId="21E57C41" w14:textId="77777777" w:rsidR="008A47A3" w:rsidRPr="00EE2D4B" w:rsidRDefault="008A47A3" w:rsidP="008A47A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 xml:space="preserve">- Kubatura budynku A2 </w:t>
      </w:r>
      <w:r w:rsidRPr="00EE2D4B">
        <w:rPr>
          <w:rFonts w:ascii="Arial" w:eastAsia="Arial" w:hAnsi="Arial" w:cs="Arial"/>
          <w:b/>
          <w:bCs/>
          <w:color w:val="000000"/>
        </w:rPr>
        <w:t>– 11 145.31 m³,</w:t>
      </w:r>
    </w:p>
    <w:p w14:paraId="7BDC9F1A" w14:textId="77777777" w:rsidR="008A47A3" w:rsidRDefault="008A47A3" w:rsidP="008A47A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- Kubatura budynku A3 </w:t>
      </w:r>
      <w:r w:rsidRPr="00EE2D4B">
        <w:rPr>
          <w:rFonts w:ascii="Arial" w:eastAsia="Arial" w:hAnsi="Arial" w:cs="Arial"/>
          <w:b/>
          <w:bCs/>
          <w:color w:val="000000"/>
        </w:rPr>
        <w:t>– 5 145.28 m³,</w:t>
      </w:r>
    </w:p>
    <w:p w14:paraId="59D0B250" w14:textId="77777777" w:rsidR="008A47A3" w:rsidRDefault="008A47A3" w:rsidP="008A47A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- Kubatura budynku A4 </w:t>
      </w:r>
      <w:r w:rsidRPr="00EE2D4B">
        <w:rPr>
          <w:rFonts w:ascii="Arial" w:eastAsia="Arial" w:hAnsi="Arial" w:cs="Arial"/>
          <w:b/>
          <w:bCs/>
          <w:color w:val="000000"/>
        </w:rPr>
        <w:t>– 11 145.31 m³,</w:t>
      </w:r>
      <w:r>
        <w:rPr>
          <w:rFonts w:ascii="Arial" w:eastAsia="Arial" w:hAnsi="Arial" w:cs="Arial"/>
          <w:color w:val="000000"/>
        </w:rPr>
        <w:t xml:space="preserve"> </w:t>
      </w:r>
    </w:p>
    <w:p w14:paraId="3655894B" w14:textId="77777777" w:rsidR="008A47A3" w:rsidRDefault="008A47A3" w:rsidP="008A47A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- Kubatura budynku A5 </w:t>
      </w:r>
      <w:r w:rsidRPr="00EE2D4B">
        <w:rPr>
          <w:rFonts w:ascii="Arial" w:eastAsia="Arial" w:hAnsi="Arial" w:cs="Arial"/>
          <w:b/>
          <w:bCs/>
          <w:color w:val="000000"/>
        </w:rPr>
        <w:t>– 11 145.31 m³;</w:t>
      </w:r>
    </w:p>
    <w:p w14:paraId="0A80E11C" w14:textId="77777777" w:rsidR="008A47A3" w:rsidRDefault="008A47A3" w:rsidP="008A47A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10)</w:t>
      </w:r>
      <w:r>
        <w:rPr>
          <w:rFonts w:ascii="Arial" w:eastAsia="Arial" w:hAnsi="Arial" w:cs="Arial"/>
          <w:color w:val="000000"/>
        </w:rPr>
        <w:tab/>
        <w:t xml:space="preserve">Instalacje w budynkach: c.o., gazowa, </w:t>
      </w:r>
      <w:proofErr w:type="spellStart"/>
      <w:r>
        <w:rPr>
          <w:rFonts w:ascii="Arial" w:eastAsia="Arial" w:hAnsi="Arial" w:cs="Arial"/>
          <w:color w:val="000000"/>
        </w:rPr>
        <w:t>wod</w:t>
      </w:r>
      <w:proofErr w:type="spellEnd"/>
      <w:r>
        <w:rPr>
          <w:rFonts w:ascii="Arial" w:eastAsia="Arial" w:hAnsi="Arial" w:cs="Arial"/>
          <w:color w:val="000000"/>
        </w:rPr>
        <w:t>-kan.</w:t>
      </w:r>
    </w:p>
    <w:p w14:paraId="0D48A101" w14:textId="77777777" w:rsidR="008A47A3" w:rsidRDefault="008A47A3" w:rsidP="008A47A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</w:p>
    <w:p w14:paraId="36554ED3" w14:textId="77777777" w:rsidR="008A47A3" w:rsidRDefault="008A47A3" w:rsidP="008A47A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</w:rPr>
        <w:tab/>
        <w:t xml:space="preserve">Szczegółowy opis zamówienia zawiera: </w:t>
      </w:r>
    </w:p>
    <w:p w14:paraId="01BDB59F" w14:textId="77777777" w:rsidR="008A47A3" w:rsidRDefault="008A47A3" w:rsidP="008A47A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1)</w:t>
      </w:r>
      <w:r>
        <w:rPr>
          <w:rFonts w:ascii="Arial" w:eastAsia="Arial" w:hAnsi="Arial" w:cs="Arial"/>
          <w:color w:val="000000"/>
        </w:rPr>
        <w:tab/>
        <w:t>dokumentacja techniczna składającą się z projektów budowlanych i wykonawczych;</w:t>
      </w:r>
    </w:p>
    <w:p w14:paraId="65ED3461" w14:textId="77777777" w:rsidR="008A47A3" w:rsidRDefault="008A47A3" w:rsidP="008A47A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</w:t>
      </w:r>
      <w:r>
        <w:rPr>
          <w:rFonts w:ascii="Arial" w:eastAsia="Arial" w:hAnsi="Arial" w:cs="Arial"/>
          <w:color w:val="000000"/>
        </w:rPr>
        <w:tab/>
        <w:t>przedmiary robót;</w:t>
      </w:r>
    </w:p>
    <w:p w14:paraId="57FF601B" w14:textId="77777777" w:rsidR="008A47A3" w:rsidRDefault="008A47A3" w:rsidP="008A47A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c)</w:t>
      </w:r>
      <w:r>
        <w:rPr>
          <w:rFonts w:ascii="Arial" w:eastAsia="Arial" w:hAnsi="Arial" w:cs="Arial"/>
          <w:color w:val="000000"/>
        </w:rPr>
        <w:tab/>
        <w:t>Specyfikacje techniczne wykonania i odbioru robót budowlanych w części zawierającej zbiory wymagań w zakresie sposobu wykonania robót budowlanych, obejmujące wymagania w zakresie właściwości materiałów, wymagania dotyczące sposobu wykonania i oceny prawidłowości wykonania poszczególnych robót,</w:t>
      </w:r>
    </w:p>
    <w:p w14:paraId="7B16C7BE" w14:textId="77777777" w:rsidR="008A47A3" w:rsidRDefault="008A47A3" w:rsidP="008A47A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stanowiące załącznik nr 8.1 do SWZ.</w:t>
      </w:r>
    </w:p>
    <w:p w14:paraId="33F9BF5B" w14:textId="77777777" w:rsidR="008A47A3" w:rsidRDefault="008A47A3" w:rsidP="008A47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F2EDF4D" w14:textId="77777777" w:rsidR="008A47A3" w:rsidRDefault="008A47A3" w:rsidP="008A47A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5. Wszystkie wyroby i materiały niezbędne do wykonania przedmiotu zamówienia dostarcza Wykonawca. Wszystkie wyroby i materiały, które zastosuje Wykonawca muszą :</w:t>
      </w:r>
    </w:p>
    <w:p w14:paraId="14394D44" w14:textId="77777777" w:rsidR="008A47A3" w:rsidRDefault="008A47A3" w:rsidP="008A47A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1) być dopuszczone do użytku na terenie kraju na podstawie odrębnych przepisów w szczególności Rozporządzenia Parlamentu Europejskiego i Rady nr 305/2011 z 3 marca 2011r. ustanawiające zharmonizowane warunki wprowadzania do obrotu wyrobów budowlanych i uchylające dyrektywę Rady 89/106/EWG (Dz. U. UE.L.2011.88.5 z dnia 4  kwietnia 2011 r.) i ustawy z dnia 16 kwietnia 2004 o wyrobach budowlanych (</w:t>
      </w:r>
      <w:proofErr w:type="spellStart"/>
      <w:r>
        <w:rPr>
          <w:rFonts w:ascii="Arial" w:eastAsia="Arial" w:hAnsi="Arial" w:cs="Arial"/>
          <w:color w:val="000000"/>
        </w:rPr>
        <w:t>t.j</w:t>
      </w:r>
      <w:proofErr w:type="spellEnd"/>
      <w:r>
        <w:rPr>
          <w:rFonts w:ascii="Arial" w:eastAsia="Arial" w:hAnsi="Arial" w:cs="Arial"/>
          <w:color w:val="000000"/>
        </w:rPr>
        <w:t>. Dz. U. 2016 poz. 1570) oraz odpowiednich norm technicznych i przepisów BHP:</w:t>
      </w:r>
    </w:p>
    <w:p w14:paraId="7555D755" w14:textId="77777777" w:rsidR="008A47A3" w:rsidRDefault="008A47A3" w:rsidP="008A47A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2) nadawać się do zastosowania i gwarantować odpowiednią jakość robót budowlanych będących przedmiotem umowy a także bezpieczeństwo prowadzenia robót i użytkowania obiektu budowlanego.</w:t>
      </w:r>
    </w:p>
    <w:p w14:paraId="7932C978" w14:textId="77777777" w:rsidR="008A47A3" w:rsidRDefault="008A47A3" w:rsidP="008A47A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6. Zamawiający dopuszcza oferowanie materiałów i urządzeń równoważnych w stosunku do wskazanych w dokumentacji projektowej i </w:t>
      </w:r>
      <w:proofErr w:type="spellStart"/>
      <w:r>
        <w:rPr>
          <w:rFonts w:ascii="Arial" w:eastAsia="Arial" w:hAnsi="Arial" w:cs="Arial"/>
          <w:color w:val="000000"/>
        </w:rPr>
        <w:t>STWiOR</w:t>
      </w:r>
      <w:proofErr w:type="spellEnd"/>
      <w:r>
        <w:rPr>
          <w:rFonts w:ascii="Arial" w:eastAsia="Arial" w:hAnsi="Arial" w:cs="Arial"/>
          <w:color w:val="000000"/>
        </w:rPr>
        <w:t xml:space="preserve"> pod warunkiem, że zagwarantują one realizację robót w zgodzie z dokumentacją projektową i </w:t>
      </w:r>
      <w:proofErr w:type="spellStart"/>
      <w:r>
        <w:rPr>
          <w:rFonts w:ascii="Arial" w:eastAsia="Arial" w:hAnsi="Arial" w:cs="Arial"/>
          <w:color w:val="000000"/>
        </w:rPr>
        <w:t>STWiOR</w:t>
      </w:r>
      <w:proofErr w:type="spellEnd"/>
      <w:r>
        <w:rPr>
          <w:rFonts w:ascii="Arial" w:eastAsia="Arial" w:hAnsi="Arial" w:cs="Arial"/>
          <w:color w:val="000000"/>
        </w:rPr>
        <w:t>, zapewnią uzyskanie parametrów technicznych nie gorszych od założonych w dokumentach, o których mowa wyżej oraz będą zgodne pod względem:</w:t>
      </w:r>
    </w:p>
    <w:p w14:paraId="2C67E885" w14:textId="77777777" w:rsidR="008A47A3" w:rsidRDefault="008A47A3" w:rsidP="008A47A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1) gabarytów i konstrukcji (wielkość, rodzaj, właściwości fizyczne oraz liczba elementów składowych);</w:t>
      </w:r>
    </w:p>
    <w:p w14:paraId="29500DC2" w14:textId="77777777" w:rsidR="008A47A3" w:rsidRDefault="008A47A3" w:rsidP="008A47A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2) charakteru użytkowego (tożsamość funkcji);</w:t>
      </w:r>
    </w:p>
    <w:p w14:paraId="7F2CA457" w14:textId="77777777" w:rsidR="008A47A3" w:rsidRDefault="008A47A3" w:rsidP="008A47A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3) charakterystyki materiałowej (rodzaj i jakość materiałów),</w:t>
      </w:r>
    </w:p>
    <w:p w14:paraId="6EA987C7" w14:textId="77777777" w:rsidR="008A47A3" w:rsidRDefault="008A47A3" w:rsidP="008A47A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4) parametrów technicznych (w szczególności: wytrzymałość, trwałość, dane techniczne, dane hydrauliczne, charakterystyki liniowe, konstrukcji);</w:t>
      </w:r>
    </w:p>
    <w:p w14:paraId="78CAC5F7" w14:textId="77777777" w:rsidR="008A47A3" w:rsidRDefault="008A47A3" w:rsidP="008A47A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5) parametrów bezpieczeństwa użytkowania;</w:t>
      </w:r>
    </w:p>
    <w:p w14:paraId="16198B7F" w14:textId="77777777" w:rsidR="008A47A3" w:rsidRPr="00F751CB" w:rsidRDefault="008A47A3" w:rsidP="008A47A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</w:rPr>
      </w:pPr>
      <w:r w:rsidRPr="00F751CB">
        <w:rPr>
          <w:rFonts w:ascii="Arial" w:eastAsia="Arial" w:hAnsi="Arial" w:cs="Arial"/>
        </w:rPr>
        <w:t>6) standardów emisyjnych.</w:t>
      </w:r>
    </w:p>
    <w:p w14:paraId="6D0936DD" w14:textId="77777777" w:rsidR="008A47A3" w:rsidRPr="00F751CB" w:rsidRDefault="008A47A3" w:rsidP="008A47A3">
      <w:pPr>
        <w:pStyle w:val="Akapitzlist"/>
        <w:suppressAutoHyphens w:val="0"/>
        <w:spacing w:after="120"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Times New Roman" w:hAnsi="Arial" w:cs="Arial"/>
          <w:lang w:eastAsia="pl-PL"/>
        </w:rPr>
      </w:pPr>
      <w:r w:rsidRPr="00F751CB">
        <w:rPr>
          <w:rFonts w:ascii="Arial" w:eastAsia="Times New Roman" w:hAnsi="Arial" w:cs="Arial"/>
          <w:lang w:eastAsia="pl-PL"/>
        </w:rPr>
        <w:t>Wykonawca, który powołuje się na rozwiązania równoważne jest obowiązany wykazać spełnienie wymagań określonych przez Zamawiającego. W takiej sytuacji zamawiający wymaga złożenia stosownych dokumentów uwiarygodniających te technologie, materiały, wyroby i urządzenia. W przypadku, gdy zastosowanie tych technologii, materiały, wyroby lub urządzeń wymagać będzie zmiany dokumentacji projektowej, koszty przeprojektowania oraz koniecznych uzgodnień i opinii poniesie Wykonawca. Po zastosowaniu rozwiązań równoważnych musi zostać zachowana funkcjonalność całego obiektu. Wszelkie proponowane zmiany wymagają pisemnej akceptacji Zamawiającego.</w:t>
      </w:r>
    </w:p>
    <w:p w14:paraId="158AB12D" w14:textId="77777777" w:rsidR="008A47A3" w:rsidRPr="00F751CB" w:rsidRDefault="008A47A3" w:rsidP="008A47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4BBCC9D" w14:textId="77777777" w:rsidR="008A47A3" w:rsidRPr="00F751CB" w:rsidRDefault="008A47A3" w:rsidP="008A47A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</w:rPr>
      </w:pPr>
      <w:r w:rsidRPr="00F751CB">
        <w:rPr>
          <w:rFonts w:ascii="Arial" w:eastAsia="Arial" w:hAnsi="Arial" w:cs="Arial"/>
        </w:rPr>
        <w:t>7. Przedmiot zamówienia nie został podzielony na części. Zamawiający nie dopuszcza składania ofert częściowych. Ze względu na charakter zamówienia, w szczególności fakt, że sposób wykonania robót budowlanych oraz zakres prac jest ze sobą ściśle związany, a podział zamówienia na Etapy lub części powodował by zagrożenia realizacji procesu budowlanego. W szczególności uwzględniając fakt, że taki podział groziłby ograniczeniem konkurencji albo – nadmiernymi trudnościami technicznymi, nadmiernymi kosztami wykonania zamówienia, oraz potrzeba skoordynowania działań różnych wykonawców realizujących poszczególne części zamówienia, co mogłoby poważnie zagrozić właściwemu wykonaniu zamówienia.</w:t>
      </w:r>
    </w:p>
    <w:p w14:paraId="33A55E88" w14:textId="77777777" w:rsidR="008A47A3" w:rsidRPr="00F751CB" w:rsidRDefault="008A47A3" w:rsidP="008A47A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</w:rPr>
      </w:pPr>
      <w:r w:rsidRPr="00F751CB">
        <w:rPr>
          <w:rFonts w:ascii="Arial" w:eastAsia="Arial" w:hAnsi="Arial" w:cs="Arial"/>
        </w:rPr>
        <w:t>8. Zamawiający nie dopuszcza składania ofert wariantowych oraz w postaci katalogów elektronicznych.</w:t>
      </w:r>
    </w:p>
    <w:p w14:paraId="6A28436C" w14:textId="77777777" w:rsidR="008A47A3" w:rsidRPr="00F751CB" w:rsidRDefault="008A47A3" w:rsidP="008A47A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</w:rPr>
      </w:pPr>
      <w:r w:rsidRPr="00F751CB">
        <w:rPr>
          <w:rFonts w:ascii="Arial" w:eastAsia="Arial" w:hAnsi="Arial" w:cs="Arial"/>
        </w:rPr>
        <w:lastRenderedPageBreak/>
        <w:t xml:space="preserve">9. Zamawiający nie przewiduje udzielania zamówień, o których mowa w art. 214 ust. 1 pkt 8 </w:t>
      </w:r>
      <w:proofErr w:type="spellStart"/>
      <w:r w:rsidRPr="00F751CB">
        <w:rPr>
          <w:rFonts w:ascii="Arial" w:eastAsia="Arial" w:hAnsi="Arial" w:cs="Arial"/>
        </w:rPr>
        <w:t>p.z.p</w:t>
      </w:r>
      <w:proofErr w:type="spellEnd"/>
      <w:r w:rsidRPr="00F751CB">
        <w:rPr>
          <w:rFonts w:ascii="Arial" w:eastAsia="Arial" w:hAnsi="Arial" w:cs="Arial"/>
        </w:rPr>
        <w:t>.</w:t>
      </w:r>
    </w:p>
    <w:p w14:paraId="25AF7308" w14:textId="77777777" w:rsidR="008A47A3" w:rsidRPr="00F751CB" w:rsidRDefault="008A47A3" w:rsidP="008A47A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</w:rPr>
      </w:pPr>
      <w:r w:rsidRPr="00F751CB">
        <w:rPr>
          <w:rFonts w:ascii="Arial" w:eastAsia="Arial" w:hAnsi="Arial" w:cs="Arial"/>
        </w:rPr>
        <w:t>10. Szczegółowy opis oraz sposób realizacji zamówienia zawiera OPZ, stanowiący Załącznik nr 8 do SWZ.</w:t>
      </w:r>
    </w:p>
    <w:p w14:paraId="56DCC9DB" w14:textId="77777777" w:rsidR="008A47A3" w:rsidRPr="00F751CB" w:rsidRDefault="008A47A3" w:rsidP="008A47A3">
      <w:pPr>
        <w:pStyle w:val="Akapitzlist"/>
        <w:suppressAutoHyphens w:val="0"/>
        <w:spacing w:after="120"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Times New Roman" w:hAnsi="Arial" w:cs="Arial"/>
          <w:lang w:eastAsia="pl-PL"/>
        </w:rPr>
      </w:pPr>
      <w:r w:rsidRPr="00F751CB">
        <w:rPr>
          <w:rFonts w:ascii="Arial" w:eastAsia="Times New Roman" w:hAnsi="Arial" w:cs="Arial"/>
          <w:sz w:val="24"/>
          <w:szCs w:val="24"/>
          <w:lang w:eastAsia="pl-PL"/>
        </w:rPr>
        <w:t xml:space="preserve">11. </w:t>
      </w:r>
      <w:r w:rsidRPr="00F751CB">
        <w:rPr>
          <w:rFonts w:ascii="Arial" w:eastAsia="Times New Roman" w:hAnsi="Arial" w:cs="Arial"/>
          <w:lang w:eastAsia="pl-PL"/>
        </w:rPr>
        <w:t>Ewentualne różnice pomiędzy projektem budowlanym a  przedmiarem powinny być zgłoszone przez Wykonawcę na etapie przygotowania oferty pod rygorem nieuwzględnienia ich.  Brak zgłoszenia należy rozumieć w ten sposób, że wykonawca przejmuje na siebie wszelkie ryzyko wynikające z rozbieżności między przedmiarem a dokumentacją projektową, wykonując przedmiot zamówienia zgodnie z przepisami prawa.</w:t>
      </w:r>
    </w:p>
    <w:p w14:paraId="6F38A921" w14:textId="77777777" w:rsidR="008A47A3" w:rsidRPr="00F751CB" w:rsidRDefault="008A47A3" w:rsidP="008A47A3">
      <w:pPr>
        <w:widowControl w:val="0"/>
        <w:spacing w:after="120" w:line="300" w:lineRule="exact"/>
        <w:ind w:hanging="2"/>
        <w:jc w:val="both"/>
        <w:rPr>
          <w:rFonts w:ascii="Arial" w:eastAsia="Times New Roman" w:hAnsi="Arial" w:cs="Arial"/>
          <w:lang w:eastAsia="pl-PL"/>
        </w:rPr>
      </w:pPr>
      <w:r w:rsidRPr="00F751CB">
        <w:rPr>
          <w:rFonts w:ascii="Arial" w:eastAsia="Times New Roman" w:hAnsi="Arial" w:cs="Arial"/>
          <w:lang w:eastAsia="pl-PL"/>
        </w:rPr>
        <w:t>12. Podstawą do sporządzenia oferty jest Projekt Budowlany oraz specyfikacja techniczna wykonania i odbioru robót budowlanych oraz ewentualna wizja w terenie, wraz z obowiązkiem sprawdzenia dokumentacji projektowej określającej przedmiot zamówienia oraz przedmiaru robót. Wykonawca w ramach tego obowiązku powinien sprawdzić i ustalić czy wszystkie roboty przewidziane w projekcie zostały ujęte w przedmiarze. Przedmiary robót przedstawione przez Zamawiającego, należy traktować jako pomocnicze do określenia ceny oferty, natomiast podstawę wyceny stanowi zakres robót objęty projektami budowlanymi dotyczącymi przedmiotu zamówienia</w:t>
      </w:r>
    </w:p>
    <w:p w14:paraId="6BBD3745" w14:textId="77777777" w:rsidR="008A47A3" w:rsidRPr="00F751CB" w:rsidRDefault="008A47A3" w:rsidP="008A47A3">
      <w:pPr>
        <w:pStyle w:val="Akapitzlist"/>
        <w:widowControl w:val="0"/>
        <w:numPr>
          <w:ilvl w:val="0"/>
          <w:numId w:val="5"/>
        </w:numPr>
        <w:suppressAutoHyphens w:val="0"/>
        <w:spacing w:after="120" w:line="300" w:lineRule="exact"/>
        <w:ind w:leftChars="0" w:firstLineChars="0"/>
        <w:jc w:val="both"/>
        <w:textDirection w:val="lrTb"/>
        <w:textAlignment w:val="auto"/>
        <w:outlineLvl w:val="9"/>
        <w:rPr>
          <w:rFonts w:ascii="Arial" w:eastAsia="Times New Roman" w:hAnsi="Arial" w:cs="Arial"/>
          <w:lang w:eastAsia="pl-PL"/>
        </w:rPr>
      </w:pPr>
      <w:r w:rsidRPr="00F751CB">
        <w:rPr>
          <w:rFonts w:ascii="Arial" w:eastAsia="Times New Roman" w:hAnsi="Arial" w:cs="Arial"/>
          <w:lang w:eastAsia="pl-PL"/>
        </w:rPr>
        <w:t>W cenie ofertowej należy uwzględnić koszty robót i usług towarzyszących, takich jak:</w:t>
      </w:r>
    </w:p>
    <w:p w14:paraId="54FE3BA4" w14:textId="77777777" w:rsidR="008A47A3" w:rsidRPr="00F751CB" w:rsidRDefault="008A47A3" w:rsidP="008A47A3">
      <w:pPr>
        <w:widowControl w:val="0"/>
        <w:numPr>
          <w:ilvl w:val="1"/>
          <w:numId w:val="4"/>
        </w:numPr>
        <w:spacing w:after="0" w:line="276" w:lineRule="auto"/>
        <w:ind w:left="0" w:hanging="2"/>
        <w:jc w:val="both"/>
        <w:rPr>
          <w:rFonts w:ascii="Arial" w:eastAsia="Times New Roman" w:hAnsi="Arial" w:cs="Arial"/>
          <w:lang w:eastAsia="pl-PL"/>
        </w:rPr>
      </w:pPr>
      <w:r w:rsidRPr="00F751CB">
        <w:rPr>
          <w:rFonts w:ascii="Arial" w:eastAsia="Times New Roman" w:hAnsi="Arial" w:cs="Arial"/>
          <w:lang w:eastAsia="pl-PL"/>
        </w:rPr>
        <w:t>ogrodzenie placu budowy,</w:t>
      </w:r>
    </w:p>
    <w:p w14:paraId="3842D9DF" w14:textId="77777777" w:rsidR="008A47A3" w:rsidRPr="00F751CB" w:rsidRDefault="008A47A3" w:rsidP="008A47A3">
      <w:pPr>
        <w:widowControl w:val="0"/>
        <w:numPr>
          <w:ilvl w:val="1"/>
          <w:numId w:val="4"/>
        </w:numPr>
        <w:spacing w:after="0" w:line="276" w:lineRule="auto"/>
        <w:ind w:left="0" w:hanging="2"/>
        <w:jc w:val="both"/>
        <w:rPr>
          <w:rFonts w:ascii="Arial" w:eastAsia="Times New Roman" w:hAnsi="Arial" w:cs="Arial"/>
          <w:lang w:eastAsia="pl-PL"/>
        </w:rPr>
      </w:pPr>
      <w:r w:rsidRPr="00F751CB">
        <w:rPr>
          <w:rFonts w:ascii="Arial" w:eastAsia="Times New Roman" w:hAnsi="Arial" w:cs="Arial"/>
          <w:lang w:eastAsia="pl-PL"/>
        </w:rPr>
        <w:t>wykonanie zaplecza budowy, w tym: punktu poboru wody, energii elektrycznej, zabezpieczenia i oznakowania placu budowy,</w:t>
      </w:r>
    </w:p>
    <w:p w14:paraId="77AD0AF0" w14:textId="77777777" w:rsidR="008A47A3" w:rsidRPr="00F751CB" w:rsidRDefault="008A47A3" w:rsidP="008A47A3">
      <w:pPr>
        <w:widowControl w:val="0"/>
        <w:numPr>
          <w:ilvl w:val="1"/>
          <w:numId w:val="4"/>
        </w:numPr>
        <w:spacing w:after="0" w:line="276" w:lineRule="auto"/>
        <w:ind w:left="0" w:hanging="2"/>
        <w:jc w:val="both"/>
        <w:rPr>
          <w:rFonts w:ascii="Arial" w:eastAsia="Times New Roman" w:hAnsi="Arial" w:cs="Arial"/>
          <w:lang w:eastAsia="pl-PL"/>
        </w:rPr>
      </w:pPr>
      <w:r w:rsidRPr="00F751CB">
        <w:rPr>
          <w:rFonts w:ascii="Arial" w:eastAsia="Times New Roman" w:hAnsi="Arial" w:cs="Arial"/>
          <w:lang w:eastAsia="pl-PL"/>
        </w:rPr>
        <w:t xml:space="preserve">ubezpieczenie budowy od wszelkich </w:t>
      </w:r>
      <w:proofErr w:type="spellStart"/>
      <w:r w:rsidRPr="00F751CB">
        <w:rPr>
          <w:rFonts w:ascii="Arial" w:eastAsia="Times New Roman" w:hAnsi="Arial" w:cs="Arial"/>
          <w:lang w:eastAsia="pl-PL"/>
        </w:rPr>
        <w:t>ryzyk</w:t>
      </w:r>
      <w:proofErr w:type="spellEnd"/>
      <w:r w:rsidRPr="00F751CB">
        <w:rPr>
          <w:rFonts w:ascii="Arial" w:eastAsia="Times New Roman" w:hAnsi="Arial" w:cs="Arial"/>
          <w:lang w:eastAsia="pl-PL"/>
        </w:rPr>
        <w:t>,</w:t>
      </w:r>
    </w:p>
    <w:p w14:paraId="44898B9A" w14:textId="77777777" w:rsidR="008A47A3" w:rsidRPr="00F751CB" w:rsidRDefault="008A47A3" w:rsidP="008A47A3">
      <w:pPr>
        <w:widowControl w:val="0"/>
        <w:numPr>
          <w:ilvl w:val="1"/>
          <w:numId w:val="4"/>
        </w:numPr>
        <w:spacing w:after="0" w:line="276" w:lineRule="auto"/>
        <w:ind w:left="0" w:hanging="2"/>
        <w:jc w:val="both"/>
        <w:rPr>
          <w:rFonts w:ascii="Arial" w:eastAsia="Times New Roman" w:hAnsi="Arial" w:cs="Arial"/>
          <w:lang w:eastAsia="pl-PL"/>
        </w:rPr>
      </w:pPr>
      <w:r w:rsidRPr="00F751CB">
        <w:rPr>
          <w:rFonts w:ascii="Arial" w:eastAsia="Times New Roman" w:hAnsi="Arial" w:cs="Arial"/>
          <w:lang w:eastAsia="pl-PL"/>
        </w:rPr>
        <w:t>zajęcie chodnika, pasa drogowego (jeżeli zachodzi taka konieczność) i oznakowanie ruchu zastępczego itp.</w:t>
      </w:r>
    </w:p>
    <w:p w14:paraId="6BBD7ADE" w14:textId="77777777" w:rsidR="008A47A3" w:rsidRPr="00F751CB" w:rsidRDefault="008A47A3" w:rsidP="008A47A3">
      <w:pPr>
        <w:widowControl w:val="0"/>
        <w:numPr>
          <w:ilvl w:val="1"/>
          <w:numId w:val="4"/>
        </w:numPr>
        <w:spacing w:after="0" w:line="276" w:lineRule="auto"/>
        <w:ind w:left="0" w:hanging="2"/>
        <w:jc w:val="both"/>
        <w:rPr>
          <w:rFonts w:ascii="Arial" w:eastAsia="Times New Roman" w:hAnsi="Arial" w:cs="Arial"/>
          <w:lang w:eastAsia="pl-PL"/>
        </w:rPr>
      </w:pPr>
      <w:r w:rsidRPr="00F751CB">
        <w:rPr>
          <w:rFonts w:ascii="Arial" w:eastAsia="Times New Roman" w:hAnsi="Arial" w:cs="Arial"/>
          <w:lang w:eastAsia="pl-PL"/>
        </w:rPr>
        <w:t>niwelacji i obsługi geodezyjnej,</w:t>
      </w:r>
    </w:p>
    <w:p w14:paraId="5F1F9460" w14:textId="77777777" w:rsidR="008A47A3" w:rsidRPr="00F751CB" w:rsidRDefault="008A47A3" w:rsidP="008A47A3">
      <w:pPr>
        <w:widowControl w:val="0"/>
        <w:numPr>
          <w:ilvl w:val="1"/>
          <w:numId w:val="4"/>
        </w:numPr>
        <w:spacing w:after="0" w:line="276" w:lineRule="auto"/>
        <w:ind w:left="0" w:hanging="2"/>
        <w:jc w:val="both"/>
        <w:rPr>
          <w:rFonts w:ascii="Arial" w:eastAsia="Times New Roman" w:hAnsi="Arial" w:cs="Arial"/>
          <w:lang w:eastAsia="pl-PL"/>
        </w:rPr>
      </w:pPr>
      <w:r w:rsidRPr="00F751CB">
        <w:rPr>
          <w:rFonts w:ascii="Arial" w:eastAsia="Times New Roman" w:hAnsi="Arial" w:cs="Arial"/>
          <w:lang w:eastAsia="pl-PL"/>
        </w:rPr>
        <w:t>dokonania niezbędnych odbiorów, prób, pomiarów, badań, sprawdzeń, wpięć itp.</w:t>
      </w:r>
    </w:p>
    <w:p w14:paraId="598C1F49" w14:textId="77777777" w:rsidR="008A47A3" w:rsidRPr="00F751CB" w:rsidRDefault="008A47A3" w:rsidP="008A47A3">
      <w:pPr>
        <w:widowControl w:val="0"/>
        <w:numPr>
          <w:ilvl w:val="1"/>
          <w:numId w:val="4"/>
        </w:numPr>
        <w:spacing w:after="0" w:line="276" w:lineRule="auto"/>
        <w:ind w:left="0" w:hanging="2"/>
        <w:jc w:val="both"/>
        <w:rPr>
          <w:rFonts w:ascii="Arial" w:eastAsia="Times New Roman" w:hAnsi="Arial" w:cs="Arial"/>
          <w:lang w:eastAsia="pl-PL"/>
        </w:rPr>
      </w:pPr>
      <w:r w:rsidRPr="00F751CB">
        <w:rPr>
          <w:rFonts w:ascii="Arial" w:eastAsia="Times New Roman" w:hAnsi="Arial" w:cs="Arial"/>
          <w:lang w:eastAsia="pl-PL"/>
        </w:rPr>
        <w:t>powielenia dokumentacji na potrzeby realizacji zadania inwestycyjnego,</w:t>
      </w:r>
    </w:p>
    <w:p w14:paraId="6F990963" w14:textId="77777777" w:rsidR="008A47A3" w:rsidRPr="00F751CB" w:rsidRDefault="008A47A3" w:rsidP="008A47A3">
      <w:pPr>
        <w:widowControl w:val="0"/>
        <w:numPr>
          <w:ilvl w:val="1"/>
          <w:numId w:val="4"/>
        </w:numPr>
        <w:spacing w:after="0" w:line="276" w:lineRule="auto"/>
        <w:ind w:left="0" w:hanging="2"/>
        <w:jc w:val="both"/>
        <w:rPr>
          <w:rFonts w:ascii="Arial" w:eastAsia="Times New Roman" w:hAnsi="Arial" w:cs="Arial"/>
          <w:lang w:eastAsia="pl-PL"/>
        </w:rPr>
      </w:pPr>
      <w:r w:rsidRPr="00F751CB">
        <w:rPr>
          <w:rFonts w:ascii="Arial" w:eastAsia="Times New Roman" w:hAnsi="Arial" w:cs="Arial"/>
          <w:lang w:eastAsia="pl-PL"/>
        </w:rPr>
        <w:t>korzystania z wysypiska śmieci,</w:t>
      </w:r>
    </w:p>
    <w:p w14:paraId="5D09FAF2" w14:textId="77777777" w:rsidR="008A47A3" w:rsidRPr="00F751CB" w:rsidRDefault="008A47A3" w:rsidP="008A47A3">
      <w:pPr>
        <w:widowControl w:val="0"/>
        <w:numPr>
          <w:ilvl w:val="1"/>
          <w:numId w:val="4"/>
        </w:numPr>
        <w:spacing w:after="0" w:line="276" w:lineRule="auto"/>
        <w:ind w:left="0" w:hanging="2"/>
        <w:jc w:val="both"/>
        <w:rPr>
          <w:rFonts w:ascii="Arial" w:eastAsia="Times New Roman" w:hAnsi="Arial" w:cs="Arial"/>
          <w:lang w:eastAsia="pl-PL"/>
        </w:rPr>
      </w:pPr>
      <w:r w:rsidRPr="00F751CB">
        <w:rPr>
          <w:rFonts w:ascii="Arial" w:eastAsia="Times New Roman" w:hAnsi="Arial" w:cs="Arial"/>
          <w:lang w:eastAsia="pl-PL"/>
        </w:rPr>
        <w:t>przygotowania dokumentacji powykonawczej, wraz z geodezyjnymi pomiarami powykonawczymi (inwentaryzacja),</w:t>
      </w:r>
    </w:p>
    <w:p w14:paraId="62ED09FA" w14:textId="77777777" w:rsidR="008A47A3" w:rsidRPr="00F751CB" w:rsidRDefault="008A47A3" w:rsidP="008A47A3">
      <w:pPr>
        <w:widowControl w:val="0"/>
        <w:numPr>
          <w:ilvl w:val="1"/>
          <w:numId w:val="4"/>
        </w:numPr>
        <w:spacing w:after="0" w:line="276" w:lineRule="auto"/>
        <w:ind w:left="0" w:hanging="2"/>
        <w:jc w:val="both"/>
        <w:rPr>
          <w:rFonts w:ascii="Arial" w:eastAsia="Times New Roman" w:hAnsi="Arial" w:cs="Arial"/>
          <w:lang w:eastAsia="pl-PL"/>
        </w:rPr>
      </w:pPr>
      <w:r w:rsidRPr="00F751CB">
        <w:rPr>
          <w:rFonts w:ascii="Arial" w:eastAsia="Times New Roman" w:hAnsi="Arial" w:cs="Arial"/>
          <w:lang w:eastAsia="pl-PL"/>
        </w:rPr>
        <w:t xml:space="preserve"> likwidacji zaplecza budowy,</w:t>
      </w:r>
    </w:p>
    <w:p w14:paraId="3AA4A386" w14:textId="77777777" w:rsidR="008A47A3" w:rsidRPr="00F751CB" w:rsidRDefault="008A47A3" w:rsidP="008A47A3">
      <w:pPr>
        <w:widowControl w:val="0"/>
        <w:numPr>
          <w:ilvl w:val="1"/>
          <w:numId w:val="4"/>
        </w:numPr>
        <w:spacing w:after="0" w:line="276" w:lineRule="auto"/>
        <w:ind w:left="0" w:hanging="2"/>
        <w:jc w:val="both"/>
        <w:rPr>
          <w:rFonts w:ascii="Arial" w:eastAsia="Times New Roman" w:hAnsi="Arial" w:cs="Arial"/>
          <w:lang w:eastAsia="pl-PL"/>
        </w:rPr>
      </w:pPr>
      <w:r w:rsidRPr="00F751CB">
        <w:rPr>
          <w:rFonts w:ascii="Arial" w:eastAsia="Times New Roman" w:hAnsi="Arial" w:cs="Arial"/>
          <w:lang w:eastAsia="pl-PL"/>
        </w:rPr>
        <w:t>wszelkie inne koszty, wyżej nie wymienione z nazwy.</w:t>
      </w:r>
    </w:p>
    <w:p w14:paraId="59220E24" w14:textId="77777777" w:rsidR="008A47A3" w:rsidRPr="00F751CB" w:rsidRDefault="008A47A3" w:rsidP="008A47A3">
      <w:pPr>
        <w:widowControl w:val="0"/>
        <w:numPr>
          <w:ilvl w:val="0"/>
          <w:numId w:val="1"/>
        </w:numPr>
        <w:spacing w:after="0" w:line="300" w:lineRule="exact"/>
        <w:ind w:left="0" w:hanging="2"/>
        <w:jc w:val="both"/>
        <w:rPr>
          <w:rFonts w:ascii="Arial" w:eastAsia="Times New Roman" w:hAnsi="Arial" w:cs="Arial"/>
          <w:lang w:eastAsia="pl-PL"/>
        </w:rPr>
      </w:pPr>
      <w:r w:rsidRPr="00F751CB">
        <w:rPr>
          <w:rFonts w:ascii="Arial" w:eastAsia="Times New Roman" w:hAnsi="Arial" w:cs="Arial"/>
          <w:lang w:eastAsia="pl-PL"/>
        </w:rPr>
        <w:t>W okresie realizacji przedmiotu umowy, Wykonawca poniesie koszty zużycia wody, energii elektrycznej, gazu itp.</w:t>
      </w:r>
    </w:p>
    <w:p w14:paraId="0A855957" w14:textId="77777777" w:rsidR="008A47A3" w:rsidRPr="00F751CB" w:rsidRDefault="008A47A3" w:rsidP="008A47A3">
      <w:pPr>
        <w:widowControl w:val="0"/>
        <w:spacing w:after="0" w:line="240" w:lineRule="auto"/>
        <w:ind w:hanging="2"/>
        <w:jc w:val="both"/>
        <w:rPr>
          <w:rFonts w:ascii="Arial" w:eastAsia="Times New Roman" w:hAnsi="Arial" w:cs="Arial"/>
          <w:lang w:eastAsia="pl-PL"/>
        </w:rPr>
      </w:pPr>
    </w:p>
    <w:p w14:paraId="38C1256A" w14:textId="77777777" w:rsidR="008A47A3" w:rsidRPr="00F751CB" w:rsidRDefault="008A47A3" w:rsidP="008A47A3">
      <w:pPr>
        <w:spacing w:after="120" w:line="276" w:lineRule="auto"/>
        <w:ind w:hanging="2"/>
        <w:jc w:val="both"/>
        <w:rPr>
          <w:rFonts w:ascii="Arial" w:eastAsia="Times New Roman" w:hAnsi="Arial" w:cs="Arial"/>
          <w:lang w:eastAsia="pl-PL"/>
        </w:rPr>
      </w:pPr>
      <w:r w:rsidRPr="00F751CB">
        <w:rPr>
          <w:rFonts w:ascii="Arial" w:eastAsia="Times New Roman" w:hAnsi="Arial" w:cs="Arial"/>
          <w:lang w:eastAsia="pl-PL"/>
        </w:rPr>
        <w:t>14. Do realizacji, a następnie eksploatacji przedmiotu zamówienia, Wykonawca zastosuje surowce, materiały, maszyny i urządzenia dopuszczone do stosowania w budownictwie opatrzone znakiem „B” lub deklaracje zgodności, wymagane atesty i inne dokumenty niezbędne do ich stosowania.</w:t>
      </w:r>
    </w:p>
    <w:p w14:paraId="64C51FEF" w14:textId="77777777" w:rsidR="008A47A3" w:rsidRPr="00F751CB" w:rsidRDefault="008A47A3" w:rsidP="008A47A3">
      <w:pPr>
        <w:spacing w:after="120"/>
        <w:jc w:val="both"/>
        <w:rPr>
          <w:rFonts w:ascii="Arial" w:eastAsia="Times New Roman" w:hAnsi="Arial" w:cs="Arial"/>
          <w:lang w:eastAsia="pl-PL"/>
        </w:rPr>
      </w:pPr>
    </w:p>
    <w:p w14:paraId="7966F826" w14:textId="77777777" w:rsidR="008A47A3" w:rsidRPr="00F751CB" w:rsidRDefault="008A47A3" w:rsidP="008A47A3">
      <w:pPr>
        <w:spacing w:after="120" w:line="276" w:lineRule="auto"/>
        <w:ind w:hanging="2"/>
        <w:jc w:val="both"/>
        <w:rPr>
          <w:rFonts w:ascii="Arial" w:eastAsia="Times New Roman" w:hAnsi="Arial" w:cs="Arial"/>
          <w:lang w:eastAsia="pl-PL"/>
        </w:rPr>
      </w:pPr>
      <w:r w:rsidRPr="00F751CB">
        <w:rPr>
          <w:rFonts w:ascii="Arial" w:eastAsia="Times New Roman" w:hAnsi="Arial" w:cs="Arial"/>
          <w:lang w:eastAsia="pl-PL"/>
        </w:rPr>
        <w:t>15. Wykonawca zobowiązany jest przedstawić opis oferowanych urządzeń wyposażenia mieszkań, którymi są:</w:t>
      </w:r>
    </w:p>
    <w:p w14:paraId="7E4AD252" w14:textId="77777777" w:rsidR="008A47A3" w:rsidRPr="00F751CB" w:rsidRDefault="008A47A3" w:rsidP="008A47A3">
      <w:pPr>
        <w:pStyle w:val="Akapitzlist"/>
        <w:numPr>
          <w:ilvl w:val="0"/>
          <w:numId w:val="3"/>
        </w:numPr>
        <w:suppressAutoHyphens w:val="0"/>
        <w:spacing w:after="120" w:line="276" w:lineRule="auto"/>
        <w:ind w:leftChars="0" w:firstLineChars="0"/>
        <w:jc w:val="both"/>
        <w:textDirection w:val="lrTb"/>
        <w:textAlignment w:val="auto"/>
        <w:outlineLvl w:val="9"/>
        <w:rPr>
          <w:rFonts w:ascii="Arial" w:eastAsia="Times New Roman" w:hAnsi="Arial" w:cs="Arial"/>
          <w:lang w:eastAsia="pl-PL"/>
        </w:rPr>
      </w:pPr>
      <w:r w:rsidRPr="00F751CB">
        <w:rPr>
          <w:rFonts w:ascii="Arial" w:eastAsia="Times New Roman" w:hAnsi="Arial" w:cs="Arial"/>
          <w:lang w:eastAsia="pl-PL"/>
        </w:rPr>
        <w:lastRenderedPageBreak/>
        <w:t>Mierniki ciepła, z możliwością mierzenia zużycia wody – wymagane posiadanie systemu zdalnego odczytu danych, z możliwością przekazania rozliczeń poszczególnych mieszkań do dostawców mediów,</w:t>
      </w:r>
    </w:p>
    <w:p w14:paraId="17739232" w14:textId="77777777" w:rsidR="008A47A3" w:rsidRPr="00F751CB" w:rsidRDefault="008A47A3" w:rsidP="008A47A3">
      <w:pPr>
        <w:pStyle w:val="Akapitzlist"/>
        <w:numPr>
          <w:ilvl w:val="0"/>
          <w:numId w:val="3"/>
        </w:numPr>
        <w:suppressAutoHyphens w:val="0"/>
        <w:spacing w:after="120" w:line="276" w:lineRule="auto"/>
        <w:ind w:leftChars="0" w:firstLineChars="0"/>
        <w:jc w:val="both"/>
        <w:textDirection w:val="lrTb"/>
        <w:textAlignment w:val="auto"/>
        <w:outlineLvl w:val="9"/>
        <w:rPr>
          <w:rFonts w:ascii="Arial" w:eastAsia="Times New Roman" w:hAnsi="Arial" w:cs="Arial"/>
          <w:lang w:eastAsia="pl-PL"/>
        </w:rPr>
      </w:pPr>
      <w:r w:rsidRPr="00F751CB">
        <w:rPr>
          <w:rFonts w:ascii="Arial" w:eastAsia="Times New Roman" w:hAnsi="Arial" w:cs="Arial"/>
          <w:lang w:eastAsia="pl-PL"/>
        </w:rPr>
        <w:t>Zestawy wideo domofonowe, cyfrowe, wykonane ze stali nierdzewnej, możliwość otwierania drzwi za pomocą kodu i chipa</w:t>
      </w:r>
    </w:p>
    <w:p w14:paraId="47BC4C20" w14:textId="77777777" w:rsidR="008A47A3" w:rsidRPr="00F751CB" w:rsidRDefault="008A47A3" w:rsidP="008A47A3">
      <w:pPr>
        <w:pStyle w:val="Akapitzlist"/>
        <w:numPr>
          <w:ilvl w:val="0"/>
          <w:numId w:val="3"/>
        </w:numPr>
        <w:suppressAutoHyphens w:val="0"/>
        <w:spacing w:after="120" w:line="276" w:lineRule="auto"/>
        <w:ind w:leftChars="0" w:firstLineChars="0"/>
        <w:jc w:val="both"/>
        <w:textDirection w:val="lrTb"/>
        <w:textAlignment w:val="auto"/>
        <w:outlineLvl w:val="9"/>
        <w:rPr>
          <w:rFonts w:ascii="Arial" w:eastAsia="Times New Roman" w:hAnsi="Arial" w:cs="Arial"/>
          <w:lang w:eastAsia="pl-PL"/>
        </w:rPr>
      </w:pPr>
      <w:r w:rsidRPr="00F751CB">
        <w:rPr>
          <w:rFonts w:ascii="Arial" w:eastAsia="Times New Roman" w:hAnsi="Arial" w:cs="Arial"/>
          <w:lang w:eastAsia="pl-PL"/>
        </w:rPr>
        <w:t>Kuchenki elektryczne, wolnostojące.</w:t>
      </w:r>
    </w:p>
    <w:p w14:paraId="1DC137CD" w14:textId="77777777" w:rsidR="008A47A3" w:rsidRPr="00F751CB" w:rsidRDefault="008A47A3" w:rsidP="008A47A3">
      <w:pPr>
        <w:spacing w:after="120"/>
        <w:ind w:hanging="2"/>
        <w:jc w:val="both"/>
        <w:rPr>
          <w:rFonts w:ascii="Arial" w:eastAsia="Times New Roman" w:hAnsi="Arial" w:cs="Arial"/>
          <w:lang w:eastAsia="pl-PL"/>
        </w:rPr>
      </w:pPr>
      <w:r w:rsidRPr="00F751CB">
        <w:rPr>
          <w:rFonts w:ascii="Arial" w:eastAsia="Times New Roman" w:hAnsi="Arial" w:cs="Arial"/>
          <w:lang w:eastAsia="pl-PL"/>
        </w:rPr>
        <w:t>Do opisu należy dołączyć prospekty producentów zawierające dane techniczne.</w:t>
      </w:r>
    </w:p>
    <w:p w14:paraId="18867497" w14:textId="77777777" w:rsidR="008A47A3" w:rsidRPr="00F751CB" w:rsidRDefault="008A47A3" w:rsidP="008A47A3">
      <w:pPr>
        <w:spacing w:after="120"/>
        <w:ind w:hanging="2"/>
        <w:jc w:val="both"/>
        <w:rPr>
          <w:rFonts w:ascii="Arial" w:eastAsia="Times New Roman" w:hAnsi="Arial" w:cs="Arial"/>
          <w:lang w:eastAsia="pl-PL"/>
        </w:rPr>
      </w:pPr>
      <w:r w:rsidRPr="00F751CB">
        <w:rPr>
          <w:rFonts w:ascii="Arial" w:eastAsia="Times New Roman" w:hAnsi="Arial" w:cs="Arial"/>
          <w:lang w:eastAsia="pl-PL"/>
        </w:rPr>
        <w:t>16. Wykonawca w ofercie uwzględni montaż dwóch zewnętrznych stacji szybkiego ładowania samochodów elektrycznych umieszczonych na miejscach postojowych na parkingach o mocy nie mniejszej jak 44 kW oraz przedstawi prospekty producentów dotyczące danych technicznych urządzeń.</w:t>
      </w:r>
    </w:p>
    <w:p w14:paraId="79337269" w14:textId="77777777" w:rsidR="008A47A3" w:rsidRPr="00F751CB" w:rsidRDefault="008A47A3" w:rsidP="008A47A3">
      <w:pPr>
        <w:pStyle w:val="Akapitzlist"/>
        <w:spacing w:after="120"/>
        <w:ind w:leftChars="0" w:left="360" w:firstLineChars="0" w:firstLine="0"/>
        <w:jc w:val="both"/>
        <w:rPr>
          <w:rFonts w:ascii="Arial" w:eastAsia="Times New Roman" w:hAnsi="Arial" w:cs="Arial"/>
          <w:lang w:eastAsia="pl-PL"/>
        </w:rPr>
      </w:pPr>
    </w:p>
    <w:p w14:paraId="45B910C4" w14:textId="77777777" w:rsidR="008A47A3" w:rsidRPr="00F751CB" w:rsidRDefault="008A47A3" w:rsidP="008A47A3">
      <w:pPr>
        <w:spacing w:after="120"/>
        <w:ind w:hanging="2"/>
        <w:jc w:val="both"/>
        <w:rPr>
          <w:rFonts w:ascii="Arial" w:eastAsia="Times New Roman" w:hAnsi="Arial" w:cs="Arial"/>
          <w:lang w:eastAsia="pl-PL"/>
        </w:rPr>
      </w:pPr>
      <w:r w:rsidRPr="00F751CB">
        <w:rPr>
          <w:rFonts w:ascii="Arial" w:eastAsia="Times New Roman" w:hAnsi="Arial" w:cs="Arial"/>
          <w:lang w:eastAsia="pl-PL"/>
        </w:rPr>
        <w:t>17.Wykonawca w ofercie uwzględni zastosowanie do wykonania konstrukcji płyt balkonowych łączników konstrukcyjnych, termoizolacyjnych oraz przedstawi prospekty producentów dotyczące danych technicznych materiałów.</w:t>
      </w:r>
    </w:p>
    <w:p w14:paraId="67C51B53" w14:textId="77777777" w:rsidR="008A47A3" w:rsidRPr="00F751CB" w:rsidRDefault="008A47A3" w:rsidP="008A47A3">
      <w:pPr>
        <w:pStyle w:val="Akapitzlist"/>
        <w:spacing w:after="120"/>
        <w:ind w:leftChars="0" w:left="360" w:firstLineChars="0" w:firstLine="0"/>
        <w:jc w:val="both"/>
        <w:rPr>
          <w:rFonts w:ascii="Arial" w:eastAsia="Times New Roman" w:hAnsi="Arial" w:cs="Arial"/>
          <w:lang w:eastAsia="pl-PL"/>
        </w:rPr>
      </w:pPr>
    </w:p>
    <w:p w14:paraId="0FB61D1E" w14:textId="77777777" w:rsidR="008A47A3" w:rsidRPr="00F751CB" w:rsidRDefault="008A47A3" w:rsidP="008A47A3">
      <w:pPr>
        <w:spacing w:after="120" w:line="276" w:lineRule="auto"/>
        <w:ind w:hanging="2"/>
        <w:jc w:val="both"/>
        <w:rPr>
          <w:rFonts w:ascii="Arial" w:eastAsia="Times New Roman" w:hAnsi="Arial" w:cs="Arial"/>
          <w:bCs/>
          <w:lang w:eastAsia="pl-PL"/>
        </w:rPr>
      </w:pPr>
      <w:r w:rsidRPr="00F751CB">
        <w:rPr>
          <w:rFonts w:ascii="Arial" w:eastAsia="Times New Roman" w:hAnsi="Arial" w:cs="Arial"/>
          <w:bCs/>
          <w:lang w:eastAsia="pl-PL"/>
        </w:rPr>
        <w:t xml:space="preserve">18.Zamawiający dopuszcza możliwość wyłączenia z zakresu robót budowlano-montażowych Wykonawcy robót wykończeniowych i wyposażenia mieszkań, które mogą zostać wykonanie siłami i środkami własnymi przyszłych użytkowników mieszkań i dotyczą: </w:t>
      </w:r>
    </w:p>
    <w:p w14:paraId="5887B2D5" w14:textId="77777777" w:rsidR="008A47A3" w:rsidRPr="00F751CB" w:rsidRDefault="008A47A3" w:rsidP="008A47A3">
      <w:pPr>
        <w:pStyle w:val="Akapitzlist"/>
        <w:numPr>
          <w:ilvl w:val="0"/>
          <w:numId w:val="2"/>
        </w:numPr>
        <w:suppressAutoHyphens w:val="0"/>
        <w:spacing w:after="12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eastAsia="Times New Roman" w:hAnsi="Arial" w:cs="Arial"/>
          <w:bCs/>
          <w:lang w:eastAsia="pl-PL"/>
        </w:rPr>
      </w:pPr>
      <w:r w:rsidRPr="00F751CB">
        <w:rPr>
          <w:rFonts w:ascii="Arial" w:eastAsia="Times New Roman" w:hAnsi="Arial" w:cs="Arial"/>
          <w:bCs/>
          <w:lang w:eastAsia="pl-PL"/>
        </w:rPr>
        <w:t>Podłóg i posadzek,</w:t>
      </w:r>
    </w:p>
    <w:p w14:paraId="68E4724A" w14:textId="77777777" w:rsidR="008A47A3" w:rsidRPr="00F751CB" w:rsidRDefault="008A47A3" w:rsidP="008A47A3">
      <w:pPr>
        <w:pStyle w:val="Akapitzlist"/>
        <w:numPr>
          <w:ilvl w:val="0"/>
          <w:numId w:val="2"/>
        </w:numPr>
        <w:suppressAutoHyphens w:val="0"/>
        <w:spacing w:after="12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eastAsia="Times New Roman" w:hAnsi="Arial" w:cs="Arial"/>
          <w:bCs/>
          <w:lang w:eastAsia="pl-PL"/>
        </w:rPr>
      </w:pPr>
      <w:r w:rsidRPr="00F751CB">
        <w:rPr>
          <w:rFonts w:ascii="Arial" w:eastAsia="Times New Roman" w:hAnsi="Arial" w:cs="Arial"/>
          <w:bCs/>
          <w:lang w:eastAsia="pl-PL"/>
        </w:rPr>
        <w:t>Ścian – okładziny ścienne, malowanie na biało,</w:t>
      </w:r>
    </w:p>
    <w:p w14:paraId="1F0163B7" w14:textId="77777777" w:rsidR="008A47A3" w:rsidRPr="00F751CB" w:rsidRDefault="008A47A3" w:rsidP="008A47A3">
      <w:pPr>
        <w:pStyle w:val="Akapitzlist"/>
        <w:numPr>
          <w:ilvl w:val="0"/>
          <w:numId w:val="2"/>
        </w:numPr>
        <w:suppressAutoHyphens w:val="0"/>
        <w:spacing w:after="12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eastAsia="Times New Roman" w:hAnsi="Arial" w:cs="Arial"/>
          <w:bCs/>
          <w:lang w:eastAsia="pl-PL"/>
        </w:rPr>
      </w:pPr>
      <w:r w:rsidRPr="00F751CB">
        <w:rPr>
          <w:rFonts w:ascii="Arial" w:eastAsia="Times New Roman" w:hAnsi="Arial" w:cs="Arial"/>
          <w:bCs/>
          <w:lang w:eastAsia="pl-PL"/>
        </w:rPr>
        <w:t>Stolarki drzwiowej wewnętrznej,</w:t>
      </w:r>
    </w:p>
    <w:p w14:paraId="135B2D5D" w14:textId="77777777" w:rsidR="008A47A3" w:rsidRPr="00F751CB" w:rsidRDefault="008A47A3" w:rsidP="008A47A3">
      <w:pPr>
        <w:pStyle w:val="Akapitzlist"/>
        <w:numPr>
          <w:ilvl w:val="0"/>
          <w:numId w:val="2"/>
        </w:numPr>
        <w:suppressAutoHyphens w:val="0"/>
        <w:spacing w:after="12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eastAsia="Times New Roman" w:hAnsi="Arial" w:cs="Arial"/>
          <w:bCs/>
          <w:lang w:eastAsia="pl-PL"/>
        </w:rPr>
      </w:pPr>
      <w:r w:rsidRPr="00F751CB">
        <w:rPr>
          <w:rFonts w:ascii="Arial" w:eastAsia="Times New Roman" w:hAnsi="Arial" w:cs="Arial"/>
          <w:bCs/>
          <w:lang w:eastAsia="pl-PL"/>
        </w:rPr>
        <w:t>Białego montażu.</w:t>
      </w:r>
    </w:p>
    <w:p w14:paraId="3D1289EA" w14:textId="77777777" w:rsidR="008A47A3" w:rsidRPr="00CE0D38" w:rsidRDefault="008A47A3" w:rsidP="00CE0D38">
      <w:pPr>
        <w:jc w:val="both"/>
        <w:rPr>
          <w:rFonts w:ascii="Arial" w:hAnsi="Arial" w:cs="Arial"/>
        </w:rPr>
      </w:pPr>
    </w:p>
    <w:sectPr w:rsidR="008A47A3" w:rsidRPr="00CE0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F7CF3"/>
    <w:multiLevelType w:val="hybridMultilevel"/>
    <w:tmpl w:val="B8702A0C"/>
    <w:lvl w:ilvl="0" w:tplc="2E885F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5D3D49"/>
    <w:multiLevelType w:val="hybridMultilevel"/>
    <w:tmpl w:val="A4889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2029226">
      <w:start w:val="1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BEFA084A">
      <w:start w:val="1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F3853"/>
    <w:multiLevelType w:val="hybridMultilevel"/>
    <w:tmpl w:val="15640E1A"/>
    <w:lvl w:ilvl="0" w:tplc="D84E9FA4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9E1565"/>
    <w:multiLevelType w:val="hybridMultilevel"/>
    <w:tmpl w:val="276E12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24E45"/>
    <w:multiLevelType w:val="hybridMultilevel"/>
    <w:tmpl w:val="BEB84054"/>
    <w:lvl w:ilvl="0" w:tplc="6A360B16">
      <w:start w:val="13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706"/>
    <w:rsid w:val="00333706"/>
    <w:rsid w:val="00334A08"/>
    <w:rsid w:val="008A47A3"/>
    <w:rsid w:val="009945D6"/>
    <w:rsid w:val="00CD0EEC"/>
    <w:rsid w:val="00CE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CC518"/>
  <w15:chartTrackingRefBased/>
  <w15:docId w15:val="{1300365B-EC3A-4D8D-A500-03C10077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7A3"/>
    <w:pPr>
      <w:suppressAutoHyphens/>
      <w:ind w:leftChars="-1" w:left="720" w:hangingChars="1" w:hanging="1"/>
      <w:contextualSpacing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1535</Words>
  <Characters>9213</Characters>
  <Application>Microsoft Office Word</Application>
  <DocSecurity>0</DocSecurity>
  <Lines>76</Lines>
  <Paragraphs>21</Paragraphs>
  <ScaleCrop>false</ScaleCrop>
  <Company/>
  <LinksUpToDate>false</LinksUpToDate>
  <CharactersWithSpaces>10727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G</dc:creator>
  <cp:keywords/>
  <dc:description/>
  <cp:lastModifiedBy>Łukasz Jażdżewski</cp:lastModifiedBy>
  <cp:revision>4</cp:revision>
  <dcterms:created xsi:type="dcterms:W3CDTF">2021-04-30T07:34:00Z</dcterms:created>
  <dcterms:modified xsi:type="dcterms:W3CDTF">2021-09-24T10:53:00Z</dcterms:modified>
</cp:coreProperties>
</file>