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3DEB43BA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8977CC">
        <w:rPr>
          <w:rFonts w:ascii="Calibri" w:hAnsi="Calibri" w:cs="Calibri"/>
          <w:b/>
        </w:rPr>
        <w:t>1</w:t>
      </w:r>
      <w:r w:rsidR="00911200">
        <w:rPr>
          <w:rFonts w:ascii="Calibri" w:hAnsi="Calibri" w:cs="Calibri"/>
          <w:b/>
        </w:rPr>
        <w:t>39</w:t>
      </w:r>
      <w:r w:rsidR="00BE5B84">
        <w:rPr>
          <w:rFonts w:ascii="Calibri" w:hAnsi="Calibri" w:cs="Calibri"/>
          <w:b/>
        </w:rPr>
        <w:t>/2022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- Formularz oferty</w:t>
      </w: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80A53" w:rsidRPr="00F80A53" w14:paraId="5225EA01" w14:textId="77777777" w:rsidTr="00292F06">
        <w:tc>
          <w:tcPr>
            <w:tcW w:w="10774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716F990C" w14:textId="1465B8D9" w:rsidR="008977CC" w:rsidRPr="008977CC" w:rsidRDefault="007E76F8" w:rsidP="0089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024D9E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Dostawa </w:t>
            </w:r>
            <w:r w:rsidR="00C973FD" w:rsidRPr="00C973F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pipet automatycznych</w:t>
            </w:r>
            <w:r w:rsidR="0091120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”</w:t>
            </w:r>
          </w:p>
          <w:p w14:paraId="19631649" w14:textId="5EE6F93A" w:rsidR="00F80A53" w:rsidRPr="007E76F8" w:rsidRDefault="00F80A53" w:rsidP="00024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6FF7B31" w14:textId="7527F807" w:rsidR="007E76F8" w:rsidRP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292F06">
        <w:tc>
          <w:tcPr>
            <w:tcW w:w="10774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630B25" w:rsidRPr="00F80A53" w14:paraId="573492F4" w14:textId="77777777" w:rsidTr="00292F06">
        <w:tc>
          <w:tcPr>
            <w:tcW w:w="10774" w:type="dxa"/>
            <w:shd w:val="clear" w:color="auto" w:fill="auto"/>
            <w:vAlign w:val="center"/>
          </w:tcPr>
          <w:p w14:paraId="747C4CD3" w14:textId="2CADCA0F" w:rsidR="00630B25" w:rsidRPr="00AB656A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F9C3A41" w14:textId="222D5C0C" w:rsidR="00630B25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</w:p>
          <w:p w14:paraId="4130ED7C" w14:textId="67B3C1E2" w:rsidR="0011741B" w:rsidRPr="00630B25" w:rsidRDefault="0011741B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10090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916"/>
              <w:gridCol w:w="1123"/>
              <w:gridCol w:w="709"/>
              <w:gridCol w:w="1428"/>
              <w:gridCol w:w="981"/>
              <w:gridCol w:w="1418"/>
              <w:gridCol w:w="992"/>
              <w:gridCol w:w="1276"/>
            </w:tblGrid>
            <w:tr w:rsidR="00A76D68" w:rsidRPr="00B336D6" w14:paraId="2B5E9DDA" w14:textId="77777777" w:rsidTr="002E1F56">
              <w:trPr>
                <w:trHeight w:val="397"/>
              </w:trPr>
              <w:tc>
                <w:tcPr>
                  <w:tcW w:w="2163" w:type="dxa"/>
                  <w:gridSpan w:val="2"/>
                  <w:vAlign w:val="center"/>
                </w:tcPr>
                <w:p w14:paraId="32849533" w14:textId="77777777" w:rsidR="00A76D68" w:rsidRPr="00B336D6" w:rsidRDefault="00A76D68" w:rsidP="00A76D68">
                  <w:pPr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Przedmiot zamówienia</w:t>
                  </w:r>
                </w:p>
              </w:tc>
              <w:tc>
                <w:tcPr>
                  <w:tcW w:w="1123" w:type="dxa"/>
                  <w:vAlign w:val="center"/>
                </w:tcPr>
                <w:p w14:paraId="235C8C90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netto</w:t>
                  </w:r>
                </w:p>
                <w:p w14:paraId="30892B48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za 1 szt.</w:t>
                  </w:r>
                </w:p>
              </w:tc>
              <w:tc>
                <w:tcPr>
                  <w:tcW w:w="709" w:type="dxa"/>
                </w:tcPr>
                <w:p w14:paraId="194E4120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  <w:p w14:paraId="6A25258A" w14:textId="25BAE845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>VAT</w:t>
                  </w:r>
                  <w:r w:rsidR="00A53ADF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>%</w:t>
                  </w:r>
                </w:p>
              </w:tc>
              <w:tc>
                <w:tcPr>
                  <w:tcW w:w="1428" w:type="dxa"/>
                  <w:vAlign w:val="center"/>
                </w:tcPr>
                <w:p w14:paraId="2E1E12D3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brutto za 1 szt.</w:t>
                  </w:r>
                </w:p>
              </w:tc>
              <w:tc>
                <w:tcPr>
                  <w:tcW w:w="981" w:type="dxa"/>
                </w:tcPr>
                <w:p w14:paraId="52C4ED83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Liczba szt.</w:t>
                  </w:r>
                </w:p>
              </w:tc>
              <w:tc>
                <w:tcPr>
                  <w:tcW w:w="1418" w:type="dxa"/>
                </w:tcPr>
                <w:p w14:paraId="67D891A8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netto</w:t>
                  </w:r>
                </w:p>
                <w:p w14:paraId="7A58B66A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385AFF4A" w14:textId="41362AE5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VAT</w:t>
                  </w:r>
                  <w:r w:rsidR="00A53ADF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16007A40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brutto</w:t>
                  </w:r>
                </w:p>
              </w:tc>
            </w:tr>
            <w:tr w:rsidR="00A76D68" w:rsidRPr="00B336D6" w14:paraId="53BE46A0" w14:textId="77777777" w:rsidTr="002E1F56">
              <w:trPr>
                <w:trHeight w:val="397"/>
              </w:trPr>
              <w:tc>
                <w:tcPr>
                  <w:tcW w:w="2163" w:type="dxa"/>
                  <w:gridSpan w:val="2"/>
                  <w:vAlign w:val="center"/>
                </w:tcPr>
                <w:p w14:paraId="67DA7B4D" w14:textId="5703DA4C" w:rsidR="00A76D68" w:rsidRPr="00A53ADF" w:rsidRDefault="00292F06" w:rsidP="00A76D6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1.</w:t>
                  </w:r>
                  <w:r w:rsidR="00B74F09" w:rsidRPr="00A53AD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pipeta</w:t>
                  </w:r>
                  <w:r w:rsidR="00B74F09" w:rsidRPr="00A53ADF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automatyczna 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="00B74F09" w:rsidRPr="00A53ADF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="00B74F09" w:rsidRPr="00A53ADF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="00B74F09" w:rsidRPr="00A53ADF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="00B74F09" w:rsidRPr="00A53ADF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końcówek o zakresie 0,5-10 </w:t>
                  </w:r>
                  <w:proofErr w:type="spellStart"/>
                  <w:r w:rsidR="00B74F09" w:rsidRPr="00A53ADF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μl</w:t>
                  </w:r>
                  <w:proofErr w:type="spellEnd"/>
                  <w:r w:rsidR="00B74F09" w:rsidRPr="00A53ADF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pl"/>
                    </w:rPr>
                    <w:t xml:space="preserve">  </w:t>
                  </w:r>
                </w:p>
              </w:tc>
              <w:tc>
                <w:tcPr>
                  <w:tcW w:w="1123" w:type="dxa"/>
                  <w:vAlign w:val="center"/>
                </w:tcPr>
                <w:p w14:paraId="43B92146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03E4E47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614DB715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</w:tcPr>
                <w:p w14:paraId="020085BC" w14:textId="77777777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3ABC81D6" w14:textId="77777777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D7590CB" w14:textId="69173797" w:rsidR="00A76D68" w:rsidRPr="00B336D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2240B8BB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27FB9083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8E3BC5D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76D68" w:rsidRPr="00B336D6" w14:paraId="6BD378B8" w14:textId="77777777" w:rsidTr="002E1F56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45A8584B" w14:textId="79922573" w:rsidR="00A76D68" w:rsidRPr="00A53ADF" w:rsidRDefault="00292F06" w:rsidP="00A76D6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2.</w:t>
                  </w:r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Pipeta automatyczna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końcówek o zakresie 2-20 </w:t>
                  </w:r>
                  <w:proofErr w:type="spellStart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μl</w:t>
                  </w:r>
                  <w:proofErr w:type="spellEnd"/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66500BDC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27E3F63A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6F69D9D9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1F88C4A3" w14:textId="77777777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2B04E01" w14:textId="77777777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AD73E4F" w14:textId="5CEC5CC8" w:rsidR="00A76D68" w:rsidRPr="00B336D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3E7E4CDE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0E57B745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561E84A4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76D68" w:rsidRPr="00B336D6" w14:paraId="441A82B3" w14:textId="77777777" w:rsidTr="002E1F56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ACB0F53" w14:textId="2587924F" w:rsidR="00A76D68" w:rsidRPr="00A53ADF" w:rsidRDefault="00292F06" w:rsidP="00A76D6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lastRenderedPageBreak/>
                    <w:t>3.</w:t>
                  </w:r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Pipeta automatyczna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końcówek o zakresie 10-100 </w:t>
                  </w:r>
                  <w:proofErr w:type="spellStart"/>
                  <w:r w:rsidR="00B74F09"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μl</w:t>
                  </w:r>
                  <w:proofErr w:type="spellEnd"/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4B17ACF5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6653099E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1AA4F1B4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470A0108" w14:textId="77777777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6D13DC86" w14:textId="77777777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4D9512B" w14:textId="65D665FF" w:rsidR="00A76D68" w:rsidRPr="00B336D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600BC319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3E48862D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7F503BFE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76D68" w:rsidRPr="00B336D6" w14:paraId="21222749" w14:textId="77777777" w:rsidTr="002E1F56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4814D795" w14:textId="4EC86C3D" w:rsidR="00A76D68" w:rsidRPr="00A53ADF" w:rsidRDefault="00292F06" w:rsidP="002E1F5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.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Pipeta automatyczna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końcówek o zakresie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2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0-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2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00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μl</w:t>
                  </w:r>
                  <w:proofErr w:type="spellEnd"/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629F3EB3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1235557D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231D4493" w14:textId="77777777" w:rsidR="00A76D68" w:rsidRPr="00B336D6" w:rsidRDefault="00A76D68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4D7FDA44" w14:textId="77777777" w:rsidR="00A76D68" w:rsidRDefault="00A76D68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3A37766" w14:textId="77777777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34DC7CAA" w14:textId="71285460" w:rsidR="00292F06" w:rsidRPr="00B336D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09A7679E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763ED46A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6367D34D" w14:textId="77777777" w:rsidR="00A76D68" w:rsidRPr="00B336D6" w:rsidRDefault="00A76D68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92F06" w:rsidRPr="00B336D6" w14:paraId="340A2C1D" w14:textId="77777777" w:rsidTr="002E1F56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9158D40" w14:textId="5B549B81" w:rsidR="00292F06" w:rsidRPr="00A53ADF" w:rsidRDefault="00292F06" w:rsidP="002E1F5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.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Pipeta automatyczna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końcówek o zakresie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10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0-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10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00 μl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4AD8B7A7" w14:textId="77777777" w:rsidR="00292F06" w:rsidRPr="00B336D6" w:rsidRDefault="00292F06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770A4E9E" w14:textId="77777777" w:rsidR="00292F06" w:rsidRPr="00B336D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6176F224" w14:textId="77777777" w:rsidR="00292F06" w:rsidRPr="00B336D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111E2AD0" w14:textId="77777777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072E40CD" w14:textId="77777777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B343AE7" w14:textId="1478B95D" w:rsidR="00292F06" w:rsidRDefault="00292F06" w:rsidP="00A76D6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0DC47202" w14:textId="77777777" w:rsidR="00292F06" w:rsidRPr="00B336D6" w:rsidRDefault="00292F06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4567225" w14:textId="77777777" w:rsidR="00292F06" w:rsidRPr="00B336D6" w:rsidRDefault="00292F06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4365D0DB" w14:textId="77777777" w:rsidR="00292F06" w:rsidRPr="00B336D6" w:rsidRDefault="00292F06" w:rsidP="00A76D6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92F06" w:rsidRPr="00B336D6" w14:paraId="59DCC180" w14:textId="77777777" w:rsidTr="002E1F56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DBDCBDD" w14:textId="49735C2F" w:rsidR="00292F06" w:rsidRPr="00A53ADF" w:rsidRDefault="00292F06" w:rsidP="00292F0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.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Pipeta automatyczna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końcówek o zakresie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0,5 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5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m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l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2542CF54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0F188EAE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3C264F6D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602E2DC3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6BCB87E0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4C1D481" w14:textId="7A287BC1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3B020C6A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58A31726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03BBE214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92F06" w:rsidRPr="00B336D6" w14:paraId="5ADC320B" w14:textId="77777777" w:rsidTr="002E1F56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3081090" w14:textId="6E83331E" w:rsidR="00292F06" w:rsidRPr="00A53ADF" w:rsidRDefault="00292F06" w:rsidP="00292F0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.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Pipeta automatyczna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8-kanałowa 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ze zrzutn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ikiem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końcówek o zakresie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0,5 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10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</w:t>
                  </w:r>
                  <w:proofErr w:type="spellStart"/>
                  <w:r w:rsidRPr="00292F06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μ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l</w:t>
                  </w:r>
                  <w:proofErr w:type="spellEnd"/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07702D85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758F0C8C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0BE150C5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7ADD4299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594C590C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5DE45D6C" w14:textId="61010982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1CE0D97E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790487C5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3DD977F8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92F06" w:rsidRPr="00B336D6" w14:paraId="48730AAA" w14:textId="77777777" w:rsidTr="002E1F56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2F34FCD" w14:textId="6FF224DA" w:rsidR="00292F06" w:rsidRPr="00A53ADF" w:rsidRDefault="00292F06" w:rsidP="00292F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.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Pipeta automatyczna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8-kanałowa 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ze </w:t>
                  </w:r>
                  <w:proofErr w:type="spellStart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końcówek o zakresie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10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0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 xml:space="preserve"> </w:t>
                  </w:r>
                  <w:proofErr w:type="spellStart"/>
                  <w:r w:rsidRPr="00292F06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μ</w:t>
                  </w:r>
                  <w:r w:rsidRPr="00A53ADF">
                    <w:rPr>
                      <w:rFonts w:asciiTheme="minorHAnsi" w:hAnsiTheme="minorHAnsi" w:cstheme="minorHAnsi"/>
                      <w:sz w:val="20"/>
                      <w:szCs w:val="20"/>
                      <w:lang w:val="pl"/>
                    </w:rPr>
                    <w:t>l</w:t>
                  </w:r>
                  <w:proofErr w:type="spellEnd"/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4B491D26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4EF0250E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6DCA6A4B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45800F0F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96A75C0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095CA1C8" w14:textId="04345185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41B723BD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29E2D856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7E922A70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92F06" w:rsidRPr="00B336D6" w14:paraId="2AFC0804" w14:textId="77777777" w:rsidTr="006562E9">
              <w:trPr>
                <w:gridBefore w:val="1"/>
                <w:wBefore w:w="247" w:type="dxa"/>
                <w:trHeight w:val="397"/>
              </w:trPr>
              <w:tc>
                <w:tcPr>
                  <w:tcW w:w="6157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649EE17" w14:textId="77777777" w:rsidR="00292F06" w:rsidRPr="00B336D6" w:rsidRDefault="00292F06" w:rsidP="00292F0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FC8A3" w14:textId="77777777" w:rsidR="00292F06" w:rsidRPr="00B336D6" w:rsidRDefault="00292F06" w:rsidP="00292F06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0FEB7" w14:textId="77777777" w:rsidR="00292F06" w:rsidRPr="00B336D6" w:rsidRDefault="00292F06" w:rsidP="00292F06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882BA" w14:textId="77777777" w:rsidR="00292F06" w:rsidRPr="00B336D6" w:rsidRDefault="00292F06" w:rsidP="00292F06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9074C72" w14:textId="77777777" w:rsidR="0011741B" w:rsidRDefault="0011741B" w:rsidP="00E63A7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C45A76B" w14:textId="0A9E0557" w:rsidR="0011741B" w:rsidRDefault="0011741B" w:rsidP="008B3B6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</w:tc>
      </w:tr>
      <w:tr w:rsidR="00E63A70" w:rsidRPr="00F80A53" w14:paraId="70008B57" w14:textId="77777777" w:rsidTr="00292F06">
        <w:tc>
          <w:tcPr>
            <w:tcW w:w="10774" w:type="dxa"/>
            <w:shd w:val="clear" w:color="auto" w:fill="auto"/>
            <w:vAlign w:val="center"/>
          </w:tcPr>
          <w:p w14:paraId="2F9D0455" w14:textId="77777777" w:rsidR="0011741B" w:rsidRPr="00630B25" w:rsidRDefault="0011741B" w:rsidP="0011741B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lastRenderedPageBreak/>
              <w:t>Pakiet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I</w:t>
            </w:r>
            <w:r w:rsidRPr="00630B25">
              <w:rPr>
                <w:rFonts w:asciiTheme="minorHAnsi" w:hAnsiTheme="minorHAnsi" w:cstheme="minorHAnsi"/>
                <w:b/>
                <w:color w:val="0070C0"/>
              </w:rPr>
              <w:t>I</w:t>
            </w:r>
          </w:p>
          <w:p w14:paraId="4792A673" w14:textId="77777777" w:rsidR="00C74113" w:rsidRPr="00630B25" w:rsidRDefault="00C74113" w:rsidP="00C74113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10090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916"/>
              <w:gridCol w:w="1123"/>
              <w:gridCol w:w="709"/>
              <w:gridCol w:w="1428"/>
              <w:gridCol w:w="981"/>
              <w:gridCol w:w="1418"/>
              <w:gridCol w:w="992"/>
              <w:gridCol w:w="1276"/>
            </w:tblGrid>
            <w:tr w:rsidR="00292F06" w:rsidRPr="00B336D6" w14:paraId="69CB4E62" w14:textId="77777777" w:rsidTr="00383FAC">
              <w:trPr>
                <w:trHeight w:val="397"/>
              </w:trPr>
              <w:tc>
                <w:tcPr>
                  <w:tcW w:w="2163" w:type="dxa"/>
                  <w:gridSpan w:val="2"/>
                  <w:vAlign w:val="center"/>
                </w:tcPr>
                <w:p w14:paraId="1629E335" w14:textId="77777777" w:rsidR="00292F06" w:rsidRPr="00B336D6" w:rsidRDefault="00292F06" w:rsidP="00292F06">
                  <w:pPr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Przedmiot zamówienia</w:t>
                  </w:r>
                </w:p>
              </w:tc>
              <w:tc>
                <w:tcPr>
                  <w:tcW w:w="1123" w:type="dxa"/>
                  <w:vAlign w:val="center"/>
                </w:tcPr>
                <w:p w14:paraId="5FFE18F5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netto</w:t>
                  </w:r>
                </w:p>
                <w:p w14:paraId="32104B64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za 1 szt.</w:t>
                  </w:r>
                </w:p>
              </w:tc>
              <w:tc>
                <w:tcPr>
                  <w:tcW w:w="709" w:type="dxa"/>
                </w:tcPr>
                <w:p w14:paraId="362913BF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  <w:p w14:paraId="60E746C0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>%</w:t>
                  </w:r>
                </w:p>
              </w:tc>
              <w:tc>
                <w:tcPr>
                  <w:tcW w:w="1428" w:type="dxa"/>
                  <w:vAlign w:val="center"/>
                </w:tcPr>
                <w:p w14:paraId="23920EB7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brutto za 1 szt.</w:t>
                  </w:r>
                </w:p>
              </w:tc>
              <w:tc>
                <w:tcPr>
                  <w:tcW w:w="981" w:type="dxa"/>
                </w:tcPr>
                <w:p w14:paraId="354B4997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Liczba szt.</w:t>
                  </w:r>
                </w:p>
              </w:tc>
              <w:tc>
                <w:tcPr>
                  <w:tcW w:w="1418" w:type="dxa"/>
                </w:tcPr>
                <w:p w14:paraId="2452E7CB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netto</w:t>
                  </w:r>
                </w:p>
                <w:p w14:paraId="1B932A98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77D5C682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5F2D5965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brutto</w:t>
                  </w:r>
                </w:p>
              </w:tc>
            </w:tr>
            <w:tr w:rsidR="00292F06" w:rsidRPr="00B336D6" w14:paraId="1B96581E" w14:textId="77777777" w:rsidTr="00383FAC">
              <w:trPr>
                <w:trHeight w:val="397"/>
              </w:trPr>
              <w:tc>
                <w:tcPr>
                  <w:tcW w:w="2163" w:type="dxa"/>
                  <w:gridSpan w:val="2"/>
                  <w:vAlign w:val="center"/>
                </w:tcPr>
                <w:p w14:paraId="378AE583" w14:textId="746345FF" w:rsidR="00292F06" w:rsidRPr="00292F06" w:rsidRDefault="00292F06" w:rsidP="00292F0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92F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292F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pipeta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automatyczna 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końcówek o zakresie 0,5-10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μl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pl"/>
                    </w:rPr>
                    <w:t xml:space="preserve">  </w:t>
                  </w:r>
                </w:p>
              </w:tc>
              <w:tc>
                <w:tcPr>
                  <w:tcW w:w="1123" w:type="dxa"/>
                  <w:vAlign w:val="center"/>
                </w:tcPr>
                <w:p w14:paraId="6693993F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76AEABD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14:paraId="6BBC413B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</w:tcPr>
                <w:p w14:paraId="4562372B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56BE0EB9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301F55D7" w14:textId="5447BEA0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3D2CF80A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13476CC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4BE1772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92F06" w:rsidRPr="00B336D6" w14:paraId="31930997" w14:textId="77777777" w:rsidTr="00383FAC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1BF44D2" w14:textId="135C29CE" w:rsidR="00292F06" w:rsidRPr="00A53ADF" w:rsidRDefault="00292F06" w:rsidP="00292F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  <w:r w:rsidRPr="00292F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292F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pipeta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automatyczna 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końcówek o zakresie 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2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-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2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0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μl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pl"/>
                    </w:rPr>
                    <w:t xml:space="preserve">  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51C028E5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53EDB5BA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616186EC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48BDECC4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5C83D96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581EA37" w14:textId="0DEF59AB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1403420F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5C09F983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05B5FC0C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92F06" w:rsidRPr="00B336D6" w14:paraId="05434644" w14:textId="77777777" w:rsidTr="00383FAC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0E3A64B" w14:textId="31FC43DC" w:rsidR="00292F06" w:rsidRPr="00A53ADF" w:rsidRDefault="004C7461" w:rsidP="00292F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>3</w:t>
                  </w:r>
                  <w:r w:rsidRPr="00292F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292F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pipeta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automatyczna 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końcówek o zakresie 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2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0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-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2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0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0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μl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pl"/>
                    </w:rPr>
                    <w:t xml:space="preserve">  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686F6D2D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15BC40C6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720DB535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404B7ECC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6419C26" w14:textId="77777777" w:rsidR="004C7461" w:rsidRDefault="004C7461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12EDA4D3" w14:textId="3E101ED8" w:rsidR="004C7461" w:rsidRPr="00B336D6" w:rsidRDefault="004C7461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41D8DBCA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3774A382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10B184E0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92F06" w:rsidRPr="00B336D6" w14:paraId="205E7CE8" w14:textId="77777777" w:rsidTr="00383FAC">
              <w:trPr>
                <w:trHeight w:val="397"/>
              </w:trPr>
              <w:tc>
                <w:tcPr>
                  <w:tcW w:w="216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0EB5DB9" w14:textId="60658CBD" w:rsidR="00292F06" w:rsidRPr="00A53ADF" w:rsidRDefault="004C7461" w:rsidP="00292F0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</w:t>
                  </w:r>
                  <w:r w:rsidRPr="00292F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292F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pipeta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automatyczna 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jednokanałowa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zmiennoobjetościowa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ze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zrzutnikiem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 końcówek o zakresie 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100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-</w:t>
                  </w:r>
                  <w:r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100</w:t>
                  </w:r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 xml:space="preserve">0 </w:t>
                  </w:r>
                  <w:proofErr w:type="spellStart"/>
                  <w:r w:rsidRPr="00292F06">
                    <w:rPr>
                      <w:rFonts w:asciiTheme="minorHAnsi" w:eastAsia="Arial" w:hAnsiTheme="minorHAnsi" w:cstheme="minorHAnsi"/>
                      <w:bCs/>
                      <w:sz w:val="20"/>
                      <w:szCs w:val="20"/>
                      <w:lang w:val="pl"/>
                    </w:rPr>
                    <w:t>μl</w:t>
                  </w:r>
                  <w:proofErr w:type="spellEnd"/>
                  <w:r w:rsidRPr="00292F0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pl"/>
                    </w:rPr>
                    <w:t xml:space="preserve">  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000000"/>
                  </w:tcBorders>
                  <w:vAlign w:val="center"/>
                </w:tcPr>
                <w:p w14:paraId="60772C77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56F1BC27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bottom w:val="single" w:sz="4" w:space="0" w:color="000000"/>
                  </w:tcBorders>
                  <w:vAlign w:val="center"/>
                </w:tcPr>
                <w:p w14:paraId="12CC1131" w14:textId="77777777" w:rsidR="00292F06" w:rsidRPr="00B336D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000000"/>
                  </w:tcBorders>
                </w:tcPr>
                <w:p w14:paraId="341B0C7F" w14:textId="77777777" w:rsidR="00292F06" w:rsidRDefault="00292F06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0645717F" w14:textId="77777777" w:rsidR="004C7461" w:rsidRDefault="004C7461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39BC434B" w14:textId="311FC82A" w:rsidR="004C7461" w:rsidRPr="00B336D6" w:rsidRDefault="004C7461" w:rsidP="00292F0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066E5A75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5290F58C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1E28DACC" w14:textId="77777777" w:rsidR="00292F06" w:rsidRPr="00B336D6" w:rsidRDefault="00292F06" w:rsidP="00292F0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92F06" w:rsidRPr="00B336D6" w14:paraId="4EB5B7F3" w14:textId="77777777" w:rsidTr="00383FAC">
              <w:trPr>
                <w:gridBefore w:val="1"/>
                <w:wBefore w:w="247" w:type="dxa"/>
                <w:trHeight w:val="397"/>
              </w:trPr>
              <w:tc>
                <w:tcPr>
                  <w:tcW w:w="6157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693368DE" w14:textId="77777777" w:rsidR="00292F06" w:rsidRPr="00B336D6" w:rsidRDefault="00292F06" w:rsidP="00292F0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B0B6D" w14:textId="77777777" w:rsidR="00292F06" w:rsidRPr="00B336D6" w:rsidRDefault="00292F06" w:rsidP="00292F06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23B52" w14:textId="77777777" w:rsidR="00292F06" w:rsidRPr="00B336D6" w:rsidRDefault="00292F06" w:rsidP="00292F06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ABA31" w14:textId="77777777" w:rsidR="00292F06" w:rsidRPr="00B336D6" w:rsidRDefault="00292F06" w:rsidP="00292F06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929D03C" w14:textId="77777777" w:rsidR="00C74113" w:rsidRDefault="00C74113" w:rsidP="00C7411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42682C4" w14:textId="77777777" w:rsidR="00C74113" w:rsidRDefault="00C74113" w:rsidP="00C7411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3B090C22" w14:textId="73E9A930" w:rsidR="008977CC" w:rsidRPr="00A239EA" w:rsidRDefault="008977CC" w:rsidP="008977CC">
            <w:pPr>
              <w:spacing w:line="360" w:lineRule="auto"/>
              <w:rPr>
                <w:rFonts w:ascii="Calibri" w:hAnsi="Calibri" w:cs="Calibri"/>
              </w:rPr>
            </w:pPr>
          </w:p>
          <w:p w14:paraId="4912C446" w14:textId="5DF3FD10" w:rsidR="00E63A70" w:rsidRPr="00A239EA" w:rsidRDefault="00E63A70" w:rsidP="00EE0685">
            <w:pPr>
              <w:spacing w:before="100" w:after="240"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E63A70" w:rsidRPr="00F80A53" w14:paraId="6D94CC68" w14:textId="77777777" w:rsidTr="00292F06">
        <w:trPr>
          <w:trHeight w:val="60"/>
        </w:trPr>
        <w:tc>
          <w:tcPr>
            <w:tcW w:w="10774" w:type="dxa"/>
            <w:shd w:val="clear" w:color="auto" w:fill="auto"/>
          </w:tcPr>
          <w:p w14:paraId="4F25BD1C" w14:textId="77777777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 xml:space="preserve">(to przedsiębiorstwa, które nie są mikroprzedsiębiorstwami ani małymi przedsiębiorstwami i które zatrudniają mniej </w:t>
                  </w:r>
                  <w:r w:rsidRPr="00F80A53">
                    <w:rPr>
                      <w:rFonts w:ascii="Calibri" w:hAnsi="Calibri" w:cs="Calibri"/>
                    </w:rPr>
                    <w:lastRenderedPageBreak/>
                    <w:t>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292F06">
        <w:trPr>
          <w:trHeight w:val="557"/>
        </w:trPr>
        <w:tc>
          <w:tcPr>
            <w:tcW w:w="10774" w:type="dxa"/>
            <w:shd w:val="clear" w:color="auto" w:fill="auto"/>
          </w:tcPr>
          <w:p w14:paraId="0072919F" w14:textId="77777777" w:rsidR="00E63A70" w:rsidRPr="00F80A53" w:rsidRDefault="00E63A70" w:rsidP="00E63A70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E63A70" w:rsidRPr="00F80A53" w14:paraId="164E71ED" w14:textId="77777777" w:rsidTr="00292F06">
        <w:trPr>
          <w:trHeight w:val="2225"/>
        </w:trPr>
        <w:tc>
          <w:tcPr>
            <w:tcW w:w="10774" w:type="dxa"/>
            <w:shd w:val="clear" w:color="auto" w:fill="auto"/>
          </w:tcPr>
          <w:p w14:paraId="49824E8A" w14:textId="77777777" w:rsidR="00E63A70" w:rsidRPr="00F80A53" w:rsidRDefault="00E63A70" w:rsidP="00E63A70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8977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1995" w14:textId="77777777" w:rsidR="000832D7" w:rsidRDefault="000832D7" w:rsidP="00F55F16">
      <w:r>
        <w:separator/>
      </w:r>
    </w:p>
  </w:endnote>
  <w:endnote w:type="continuationSeparator" w:id="0">
    <w:p w14:paraId="65BE33D7" w14:textId="77777777" w:rsidR="000832D7" w:rsidRDefault="000832D7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FE1" w14:textId="501EC639" w:rsidR="008977CC" w:rsidRDefault="00911200">
    <w:pPr>
      <w:pStyle w:val="Stopka"/>
    </w:pPr>
    <w:r>
      <w:rPr>
        <w:noProof/>
      </w:rPr>
      <w:drawing>
        <wp:inline distT="0" distB="0" distL="0" distR="0" wp14:anchorId="2A9A2717" wp14:editId="417F6A53">
          <wp:extent cx="1706880" cy="487680"/>
          <wp:effectExtent l="0" t="0" r="762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EDFB" w14:textId="77777777" w:rsidR="000832D7" w:rsidRDefault="000832D7" w:rsidP="00F55F16">
      <w:r>
        <w:separator/>
      </w:r>
    </w:p>
  </w:footnote>
  <w:footnote w:type="continuationSeparator" w:id="0">
    <w:p w14:paraId="0C9DC673" w14:textId="77777777" w:rsidR="000832D7" w:rsidRDefault="000832D7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FA7" w14:textId="1EEDAF1B" w:rsidR="008977CC" w:rsidRDefault="00911200" w:rsidP="008977CC">
    <w:pPr>
      <w:pStyle w:val="Nagwek"/>
      <w:ind w:firstLine="284"/>
      <w:rPr>
        <w:rFonts w:ascii="Calibri" w:hAnsi="Calibri" w:cs="Calibri"/>
        <w:sz w:val="22"/>
        <w:szCs w:val="22"/>
      </w:rPr>
    </w:pPr>
    <w:r w:rsidRPr="00911200">
      <w:rPr>
        <w:rFonts w:ascii="Calibri" w:hAnsi="Calibri" w:cs="Calibri"/>
        <w:sz w:val="22"/>
        <w:szCs w:val="22"/>
      </w:rPr>
      <w:t>Pakiet I</w:t>
    </w:r>
  </w:p>
  <w:p w14:paraId="1F636FE2" w14:textId="6FA5BCB1" w:rsidR="00911200" w:rsidRDefault="00911200" w:rsidP="008977CC">
    <w:pPr>
      <w:pStyle w:val="Nagwek"/>
      <w:ind w:firstLine="284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022A45B4" wp14:editId="10F4A11A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B4EF37" w14:textId="77777777" w:rsidR="00911200" w:rsidRPr="00826425" w:rsidRDefault="00911200" w:rsidP="00911200">
    <w:pPr>
      <w:tabs>
        <w:tab w:val="center" w:pos="4536"/>
        <w:tab w:val="right" w:pos="9072"/>
      </w:tabs>
      <w:ind w:firstLine="284"/>
      <w:jc w:val="center"/>
      <w:rPr>
        <w:rFonts w:ascii="Calibri" w:hAnsi="Calibri" w:cs="Calibri"/>
        <w:sz w:val="22"/>
        <w:szCs w:val="22"/>
      </w:rPr>
    </w:pPr>
    <w:r w:rsidRPr="00826425">
      <w:rPr>
        <w:rFonts w:ascii="Calibri" w:hAnsi="Calibri" w:cs="Calibri"/>
        <w:sz w:val="22"/>
        <w:szCs w:val="22"/>
      </w:rPr>
      <w:t>Pakiet I: Projekt „</w:t>
    </w:r>
    <w:proofErr w:type="spellStart"/>
    <w:r w:rsidRPr="00826425">
      <w:rPr>
        <w:rFonts w:ascii="Calibri" w:hAnsi="Calibri" w:cs="Calibri"/>
        <w:iCs/>
        <w:sz w:val="22"/>
        <w:szCs w:val="22"/>
      </w:rPr>
      <w:t>MOLecoLAB</w:t>
    </w:r>
    <w:proofErr w:type="spellEnd"/>
    <w:r w:rsidRPr="00826425">
      <w:rPr>
        <w:rFonts w:ascii="Calibri" w:hAnsi="Calibri" w:cs="Calibri"/>
        <w:iCs/>
        <w:sz w:val="22"/>
        <w:szCs w:val="22"/>
      </w:rPr>
      <w:t xml:space="preserve"> - Łódzkie Centrum Badań Molekularnych Chorób Cywilizacyjnych</w:t>
    </w:r>
    <w:r w:rsidRPr="00826425">
      <w:rPr>
        <w:rFonts w:ascii="Calibri" w:hAnsi="Calibri" w:cs="Calibri"/>
        <w:sz w:val="22"/>
        <w:szCs w:val="22"/>
      </w:rPr>
      <w:t>” (RPLD.01.01.00-10-0007/18) współfinansowany przez Unię Europejską, 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38E"/>
    <w:multiLevelType w:val="hybridMultilevel"/>
    <w:tmpl w:val="0C16F344"/>
    <w:lvl w:ilvl="0" w:tplc="5B2E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5"/>
  </w:num>
  <w:num w:numId="2" w16cid:durableId="1452869185">
    <w:abstractNumId w:val="13"/>
  </w:num>
  <w:num w:numId="3" w16cid:durableId="1236740063">
    <w:abstractNumId w:val="12"/>
  </w:num>
  <w:num w:numId="4" w16cid:durableId="357658888">
    <w:abstractNumId w:val="17"/>
  </w:num>
  <w:num w:numId="5" w16cid:durableId="1304429733">
    <w:abstractNumId w:val="18"/>
  </w:num>
  <w:num w:numId="6" w16cid:durableId="1639677629">
    <w:abstractNumId w:val="7"/>
  </w:num>
  <w:num w:numId="7" w16cid:durableId="1692492224">
    <w:abstractNumId w:val="0"/>
  </w:num>
  <w:num w:numId="8" w16cid:durableId="1864124611">
    <w:abstractNumId w:val="5"/>
  </w:num>
  <w:num w:numId="9" w16cid:durableId="635186850">
    <w:abstractNumId w:val="16"/>
  </w:num>
  <w:num w:numId="10" w16cid:durableId="397170863">
    <w:abstractNumId w:val="9"/>
  </w:num>
  <w:num w:numId="11" w16cid:durableId="1279533283">
    <w:abstractNumId w:val="2"/>
  </w:num>
  <w:num w:numId="12" w16cid:durableId="1404645070">
    <w:abstractNumId w:val="6"/>
  </w:num>
  <w:num w:numId="13" w16cid:durableId="339045529">
    <w:abstractNumId w:val="11"/>
  </w:num>
  <w:num w:numId="14" w16cid:durableId="966355466">
    <w:abstractNumId w:val="14"/>
  </w:num>
  <w:num w:numId="15" w16cid:durableId="517933690">
    <w:abstractNumId w:val="3"/>
  </w:num>
  <w:num w:numId="16" w16cid:durableId="216360626">
    <w:abstractNumId w:val="19"/>
  </w:num>
  <w:num w:numId="17" w16cid:durableId="1805344570">
    <w:abstractNumId w:val="10"/>
  </w:num>
  <w:num w:numId="18" w16cid:durableId="4213945">
    <w:abstractNumId w:val="8"/>
  </w:num>
  <w:num w:numId="19" w16cid:durableId="1249192110">
    <w:abstractNumId w:val="4"/>
  </w:num>
  <w:num w:numId="20" w16cid:durableId="126977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24D9E"/>
    <w:rsid w:val="000349EF"/>
    <w:rsid w:val="000450E3"/>
    <w:rsid w:val="000832D7"/>
    <w:rsid w:val="000872FE"/>
    <w:rsid w:val="000B3E24"/>
    <w:rsid w:val="000C63F1"/>
    <w:rsid w:val="000C72DE"/>
    <w:rsid w:val="000F101E"/>
    <w:rsid w:val="0011741B"/>
    <w:rsid w:val="00146F7F"/>
    <w:rsid w:val="00164049"/>
    <w:rsid w:val="001B6ED6"/>
    <w:rsid w:val="001D45ED"/>
    <w:rsid w:val="00230C24"/>
    <w:rsid w:val="00256BD5"/>
    <w:rsid w:val="00265DCB"/>
    <w:rsid w:val="00292F06"/>
    <w:rsid w:val="002D0AB1"/>
    <w:rsid w:val="002D510A"/>
    <w:rsid w:val="002E1F56"/>
    <w:rsid w:val="00312C83"/>
    <w:rsid w:val="00357B8A"/>
    <w:rsid w:val="00393155"/>
    <w:rsid w:val="003C77AE"/>
    <w:rsid w:val="003F4BF2"/>
    <w:rsid w:val="004036AE"/>
    <w:rsid w:val="0040540F"/>
    <w:rsid w:val="0044138E"/>
    <w:rsid w:val="0046537B"/>
    <w:rsid w:val="004672FC"/>
    <w:rsid w:val="004C4312"/>
    <w:rsid w:val="004C7461"/>
    <w:rsid w:val="00545DD8"/>
    <w:rsid w:val="005817E1"/>
    <w:rsid w:val="0059384C"/>
    <w:rsid w:val="005B7336"/>
    <w:rsid w:val="005C24F2"/>
    <w:rsid w:val="00603504"/>
    <w:rsid w:val="006139E8"/>
    <w:rsid w:val="00622834"/>
    <w:rsid w:val="00630B25"/>
    <w:rsid w:val="00641496"/>
    <w:rsid w:val="006A684E"/>
    <w:rsid w:val="006F5071"/>
    <w:rsid w:val="00737F5F"/>
    <w:rsid w:val="007B1D11"/>
    <w:rsid w:val="007E76F8"/>
    <w:rsid w:val="008223C9"/>
    <w:rsid w:val="00827E9B"/>
    <w:rsid w:val="00843A29"/>
    <w:rsid w:val="008977CC"/>
    <w:rsid w:val="008A315E"/>
    <w:rsid w:val="008B3B6C"/>
    <w:rsid w:val="008C16A0"/>
    <w:rsid w:val="008E1586"/>
    <w:rsid w:val="008F5509"/>
    <w:rsid w:val="0090599F"/>
    <w:rsid w:val="00911200"/>
    <w:rsid w:val="0096356F"/>
    <w:rsid w:val="00963AAF"/>
    <w:rsid w:val="009732F1"/>
    <w:rsid w:val="00985D2D"/>
    <w:rsid w:val="0099333F"/>
    <w:rsid w:val="00A0061C"/>
    <w:rsid w:val="00A02279"/>
    <w:rsid w:val="00A239EA"/>
    <w:rsid w:val="00A53ADF"/>
    <w:rsid w:val="00A76D68"/>
    <w:rsid w:val="00AE51EF"/>
    <w:rsid w:val="00B336D6"/>
    <w:rsid w:val="00B3738C"/>
    <w:rsid w:val="00B42C65"/>
    <w:rsid w:val="00B44C99"/>
    <w:rsid w:val="00B62048"/>
    <w:rsid w:val="00B74285"/>
    <w:rsid w:val="00B74F09"/>
    <w:rsid w:val="00BA0713"/>
    <w:rsid w:val="00BE5B84"/>
    <w:rsid w:val="00C43778"/>
    <w:rsid w:val="00C74113"/>
    <w:rsid w:val="00C82D2A"/>
    <w:rsid w:val="00C973FD"/>
    <w:rsid w:val="00CD5A14"/>
    <w:rsid w:val="00CE59E0"/>
    <w:rsid w:val="00CF0F22"/>
    <w:rsid w:val="00D26ADA"/>
    <w:rsid w:val="00D33F0B"/>
    <w:rsid w:val="00D56B66"/>
    <w:rsid w:val="00DC2BA3"/>
    <w:rsid w:val="00DC2CDC"/>
    <w:rsid w:val="00DD0ABC"/>
    <w:rsid w:val="00DD1A43"/>
    <w:rsid w:val="00E25F17"/>
    <w:rsid w:val="00E3368E"/>
    <w:rsid w:val="00E54F37"/>
    <w:rsid w:val="00E63A70"/>
    <w:rsid w:val="00E8344A"/>
    <w:rsid w:val="00EE0685"/>
    <w:rsid w:val="00EE7B85"/>
    <w:rsid w:val="00EF74E0"/>
    <w:rsid w:val="00F044DB"/>
    <w:rsid w:val="00F15C71"/>
    <w:rsid w:val="00F179FF"/>
    <w:rsid w:val="00F55F16"/>
    <w:rsid w:val="00F80A53"/>
    <w:rsid w:val="00F86B33"/>
    <w:rsid w:val="00F921D7"/>
    <w:rsid w:val="00F96D2C"/>
    <w:rsid w:val="00FA27BC"/>
    <w:rsid w:val="00FB4E7F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2022-11-03T11:51:00Z</dcterms:created>
  <dcterms:modified xsi:type="dcterms:W3CDTF">2022-11-03T11:51:00Z</dcterms:modified>
</cp:coreProperties>
</file>