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C84E" w14:textId="77777777" w:rsidR="00B7288B" w:rsidRDefault="00B7288B" w:rsidP="00E55E05">
      <w:pPr>
        <w:spacing w:after="0"/>
        <w:textAlignment w:val="baseline"/>
      </w:pPr>
    </w:p>
    <w:p w14:paraId="1D084C21" w14:textId="143E1F7E" w:rsidR="00B7288B" w:rsidRDefault="00B7288B" w:rsidP="00B7288B">
      <w:pPr>
        <w:pStyle w:val="paragraph"/>
        <w:spacing w:before="0" w:beforeAutospacing="0" w:after="0" w:afterAutospacing="0"/>
        <w:textAlignment w:val="baseline"/>
        <w:rPr>
          <w:rStyle w:val="normaltextrun"/>
          <w:rFonts w:asciiTheme="minorHAnsi" w:eastAsiaTheme="majorEastAsia" w:hAnsiTheme="minorHAnsi"/>
          <w:b/>
          <w:bCs/>
          <w:sz w:val="22"/>
          <w:szCs w:val="22"/>
        </w:rPr>
      </w:pPr>
      <w:r w:rsidRPr="00F41EE0">
        <w:rPr>
          <w:rStyle w:val="normaltextrun"/>
          <w:rFonts w:asciiTheme="minorHAnsi" w:eastAsiaTheme="majorEastAsia" w:hAnsiTheme="minorHAnsi"/>
          <w:b/>
          <w:bCs/>
          <w:sz w:val="22"/>
          <w:szCs w:val="22"/>
        </w:rPr>
        <w:t>Przedmiotem zamówienia</w:t>
      </w:r>
      <w:r>
        <w:rPr>
          <w:rStyle w:val="normaltextrun"/>
          <w:rFonts w:asciiTheme="minorHAnsi" w:eastAsiaTheme="majorEastAsia" w:hAnsiTheme="minorHAnsi"/>
          <w:b/>
          <w:bCs/>
          <w:sz w:val="22"/>
          <w:szCs w:val="22"/>
        </w:rPr>
        <w:t xml:space="preserve"> jest:</w:t>
      </w:r>
    </w:p>
    <w:p w14:paraId="4FD29AC1" w14:textId="1C1D4971" w:rsidR="00B63EC2" w:rsidRPr="00F41EE0" w:rsidRDefault="00B63EC2" w:rsidP="00F41EE0">
      <w:pPr>
        <w:pStyle w:val="paragraph"/>
        <w:numPr>
          <w:ilvl w:val="0"/>
          <w:numId w:val="2"/>
        </w:numPr>
        <w:spacing w:before="0" w:beforeAutospacing="0" w:after="0" w:afterAutospacing="0"/>
        <w:textAlignment w:val="baseline"/>
        <w:rPr>
          <w:rStyle w:val="normaltextrun"/>
          <w:rFonts w:asciiTheme="minorHAnsi" w:eastAsiaTheme="majorEastAsia" w:hAnsiTheme="minorHAnsi"/>
          <w:b/>
          <w:bCs/>
          <w:sz w:val="22"/>
          <w:szCs w:val="22"/>
        </w:rPr>
      </w:pPr>
      <w:r w:rsidRPr="00F41EE0">
        <w:rPr>
          <w:rStyle w:val="normaltextrun"/>
          <w:rFonts w:asciiTheme="minorHAnsi" w:eastAsiaTheme="majorEastAsia" w:hAnsiTheme="minorHAnsi"/>
          <w:b/>
          <w:bCs/>
          <w:sz w:val="22"/>
          <w:szCs w:val="22"/>
        </w:rPr>
        <w:t>zakup subskrypcji oprogramowania do wirtualizacji środowiska serwerów i aplikacji: </w:t>
      </w:r>
    </w:p>
    <w:p w14:paraId="24E2EAEB" w14:textId="77777777" w:rsidR="00B63EC2" w:rsidRPr="00270B1C" w:rsidRDefault="00B63EC2" w:rsidP="00B63EC2">
      <w:pPr>
        <w:pStyle w:val="paragraph"/>
        <w:spacing w:before="0" w:beforeAutospacing="0" w:after="0" w:afterAutospacing="0"/>
        <w:textAlignment w:val="baseline"/>
        <w:rPr>
          <w:rStyle w:val="normaltextrun"/>
          <w:rFonts w:asciiTheme="minorHAnsi" w:eastAsiaTheme="majorEastAsia" w:hAnsiTheme="minorHAnsi"/>
          <w:sz w:val="22"/>
          <w:szCs w:val="22"/>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1470"/>
        <w:gridCol w:w="2265"/>
        <w:gridCol w:w="1560"/>
      </w:tblGrid>
      <w:tr w:rsidR="00B63EC2" w:rsidRPr="003703BB" w14:paraId="6262FA29" w14:textId="77777777" w:rsidTr="00EE7558">
        <w:trPr>
          <w:trHeight w:val="300"/>
        </w:trPr>
        <w:tc>
          <w:tcPr>
            <w:tcW w:w="3675" w:type="dxa"/>
            <w:tcBorders>
              <w:top w:val="single" w:sz="6" w:space="0" w:color="auto"/>
              <w:left w:val="single" w:sz="6" w:space="0" w:color="auto"/>
              <w:bottom w:val="single" w:sz="6" w:space="0" w:color="auto"/>
              <w:right w:val="single" w:sz="6" w:space="0" w:color="auto"/>
            </w:tcBorders>
            <w:hideMark/>
          </w:tcPr>
          <w:p w14:paraId="5D87B7CD" w14:textId="77777777" w:rsidR="00B63EC2" w:rsidRPr="003703BB" w:rsidRDefault="00B63EC2"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Nazwa licencji </w:t>
            </w:r>
          </w:p>
        </w:tc>
        <w:tc>
          <w:tcPr>
            <w:tcW w:w="1470" w:type="dxa"/>
            <w:tcBorders>
              <w:top w:val="single" w:sz="6" w:space="0" w:color="auto"/>
              <w:left w:val="nil"/>
              <w:bottom w:val="single" w:sz="6" w:space="0" w:color="auto"/>
              <w:right w:val="single" w:sz="6" w:space="0" w:color="auto"/>
            </w:tcBorders>
            <w:hideMark/>
          </w:tcPr>
          <w:p w14:paraId="3AA31D92" w14:textId="77777777" w:rsidR="00B63EC2" w:rsidRPr="003703BB" w:rsidRDefault="00B63EC2"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Okres </w:t>
            </w:r>
          </w:p>
        </w:tc>
        <w:tc>
          <w:tcPr>
            <w:tcW w:w="2265" w:type="dxa"/>
            <w:tcBorders>
              <w:top w:val="single" w:sz="6" w:space="0" w:color="auto"/>
              <w:left w:val="nil"/>
              <w:bottom w:val="single" w:sz="6" w:space="0" w:color="auto"/>
              <w:right w:val="single" w:sz="6" w:space="0" w:color="auto"/>
            </w:tcBorders>
            <w:hideMark/>
          </w:tcPr>
          <w:p w14:paraId="1EB24BAC" w14:textId="77777777" w:rsidR="00B63EC2" w:rsidRPr="003703BB" w:rsidRDefault="00B63EC2"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Numer produktu </w:t>
            </w:r>
          </w:p>
        </w:tc>
        <w:tc>
          <w:tcPr>
            <w:tcW w:w="1560" w:type="dxa"/>
            <w:tcBorders>
              <w:top w:val="single" w:sz="6" w:space="0" w:color="auto"/>
              <w:left w:val="nil"/>
              <w:bottom w:val="single" w:sz="6" w:space="0" w:color="auto"/>
              <w:right w:val="single" w:sz="6" w:space="0" w:color="auto"/>
            </w:tcBorders>
            <w:hideMark/>
          </w:tcPr>
          <w:p w14:paraId="390DD2F6" w14:textId="77777777" w:rsidR="00B63EC2" w:rsidRPr="003703BB" w:rsidRDefault="00B63EC2"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Ilość </w:t>
            </w:r>
          </w:p>
        </w:tc>
      </w:tr>
      <w:tr w:rsidR="00B63EC2" w:rsidRPr="003703BB" w14:paraId="59606DDD" w14:textId="77777777" w:rsidTr="00286010">
        <w:trPr>
          <w:trHeight w:val="300"/>
        </w:trPr>
        <w:tc>
          <w:tcPr>
            <w:tcW w:w="3675" w:type="dxa"/>
            <w:tcBorders>
              <w:top w:val="nil"/>
              <w:left w:val="single" w:sz="6" w:space="0" w:color="auto"/>
              <w:bottom w:val="single" w:sz="6" w:space="0" w:color="auto"/>
              <w:right w:val="single" w:sz="6" w:space="0" w:color="auto"/>
            </w:tcBorders>
            <w:vAlign w:val="center"/>
            <w:hideMark/>
          </w:tcPr>
          <w:p w14:paraId="0A23EC16" w14:textId="77777777" w:rsidR="00B63EC2" w:rsidRPr="003703BB" w:rsidRDefault="00B63EC2" w:rsidP="00286010">
            <w:pPr>
              <w:spacing w:after="0" w:line="240" w:lineRule="auto"/>
              <w:textAlignment w:val="baseline"/>
              <w:rPr>
                <w:rFonts w:eastAsia="Times New Roman" w:cstheme="minorHAnsi"/>
                <w:sz w:val="18"/>
                <w:szCs w:val="18"/>
                <w:lang w:val="en-US" w:eastAsia="pl-PL"/>
              </w:rPr>
            </w:pPr>
            <w:r w:rsidRPr="003703BB">
              <w:rPr>
                <w:rFonts w:eastAsia="Times New Roman" w:cstheme="minorHAnsi"/>
                <w:sz w:val="18"/>
                <w:szCs w:val="18"/>
                <w:lang w:val="en-US" w:eastAsia="pl-PL"/>
              </w:rPr>
              <w:t>VMware vSphere Foundation lub równoważne </w:t>
            </w:r>
          </w:p>
        </w:tc>
        <w:tc>
          <w:tcPr>
            <w:tcW w:w="1470" w:type="dxa"/>
            <w:tcBorders>
              <w:top w:val="nil"/>
              <w:left w:val="nil"/>
              <w:bottom w:val="single" w:sz="6" w:space="0" w:color="auto"/>
              <w:right w:val="single" w:sz="6" w:space="0" w:color="auto"/>
            </w:tcBorders>
            <w:vAlign w:val="center"/>
            <w:hideMark/>
          </w:tcPr>
          <w:p w14:paraId="1F24BEC4" w14:textId="0B6F67B7" w:rsidR="00B63EC2" w:rsidRPr="003703BB" w:rsidRDefault="00B63EC2" w:rsidP="00286010">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2265" w:type="dxa"/>
            <w:tcBorders>
              <w:top w:val="nil"/>
              <w:left w:val="nil"/>
              <w:bottom w:val="single" w:sz="6" w:space="0" w:color="auto"/>
              <w:right w:val="single" w:sz="6" w:space="0" w:color="auto"/>
            </w:tcBorders>
            <w:vAlign w:val="center"/>
            <w:hideMark/>
          </w:tcPr>
          <w:p w14:paraId="5FB73693" w14:textId="4BEA9BF7" w:rsidR="00B63EC2" w:rsidRPr="003703BB" w:rsidRDefault="00B63EC2" w:rsidP="00286010">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val="en-US" w:eastAsia="pl-PL"/>
              </w:rPr>
              <w:t>VCF-VSP-FND-8</w:t>
            </w:r>
          </w:p>
        </w:tc>
        <w:tc>
          <w:tcPr>
            <w:tcW w:w="1560" w:type="dxa"/>
            <w:tcBorders>
              <w:top w:val="nil"/>
              <w:left w:val="nil"/>
              <w:bottom w:val="single" w:sz="6" w:space="0" w:color="auto"/>
              <w:right w:val="single" w:sz="6" w:space="0" w:color="auto"/>
            </w:tcBorders>
            <w:vAlign w:val="center"/>
            <w:hideMark/>
          </w:tcPr>
          <w:p w14:paraId="12B58949" w14:textId="026E2D53" w:rsidR="00B63EC2" w:rsidRPr="003703BB" w:rsidRDefault="00B63EC2" w:rsidP="00286010">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512</w:t>
            </w:r>
            <w:r w:rsidRPr="003703BB">
              <w:rPr>
                <w:rFonts w:eastAsia="Times New Roman" w:cstheme="minorHAnsi"/>
                <w:sz w:val="18"/>
                <w:szCs w:val="18"/>
                <w:lang w:eastAsia="pl-PL"/>
              </w:rPr>
              <w:t xml:space="preserve"> core</w:t>
            </w:r>
          </w:p>
        </w:tc>
      </w:tr>
    </w:tbl>
    <w:p w14:paraId="6363A7E7" w14:textId="77777777" w:rsidR="00B63EC2" w:rsidRDefault="00B63EC2" w:rsidP="00B63EC2">
      <w:pPr>
        <w:spacing w:before="20" w:after="120" w:line="240" w:lineRule="auto"/>
        <w:textAlignment w:val="baseline"/>
        <w:rPr>
          <w:rFonts w:eastAsia="Times New Roman" w:cstheme="minorHAnsi"/>
          <w:lang w:eastAsia="pl-PL"/>
        </w:rPr>
      </w:pPr>
      <w:r w:rsidRPr="003703BB">
        <w:rPr>
          <w:rFonts w:eastAsia="Times New Roman" w:cstheme="minorHAnsi"/>
          <w:lang w:eastAsia="pl-PL"/>
        </w:rPr>
        <w:t> </w:t>
      </w:r>
    </w:p>
    <w:p w14:paraId="7277D509" w14:textId="6FE1A66E" w:rsidR="00AC16FD" w:rsidRDefault="00AC16FD" w:rsidP="00B63EC2">
      <w:pPr>
        <w:spacing w:before="20" w:after="120" w:line="240" w:lineRule="auto"/>
        <w:textAlignment w:val="baseline"/>
        <w:rPr>
          <w:rFonts w:eastAsia="Times New Roman" w:cstheme="minorHAnsi"/>
          <w:lang w:eastAsia="pl-PL"/>
        </w:rPr>
      </w:pPr>
      <w:r>
        <w:rPr>
          <w:rFonts w:eastAsia="Times New Roman" w:cstheme="minorHAnsi"/>
          <w:lang w:eastAsia="pl-PL"/>
        </w:rPr>
        <w:t>Oraz wsparcia producenta dla aplikacji:</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1470"/>
        <w:gridCol w:w="1560"/>
      </w:tblGrid>
      <w:tr w:rsidR="00AC16FD" w:rsidRPr="003703BB" w14:paraId="50A2396C" w14:textId="77777777" w:rsidTr="00AC16FD">
        <w:trPr>
          <w:trHeight w:val="300"/>
          <w:jc w:val="center"/>
        </w:trPr>
        <w:tc>
          <w:tcPr>
            <w:tcW w:w="3675" w:type="dxa"/>
            <w:tcBorders>
              <w:top w:val="single" w:sz="6" w:space="0" w:color="auto"/>
              <w:left w:val="single" w:sz="6" w:space="0" w:color="auto"/>
              <w:bottom w:val="single" w:sz="6" w:space="0" w:color="auto"/>
              <w:right w:val="single" w:sz="6" w:space="0" w:color="auto"/>
            </w:tcBorders>
            <w:hideMark/>
          </w:tcPr>
          <w:p w14:paraId="7CBFC570" w14:textId="77777777" w:rsidR="00AC16FD" w:rsidRPr="003703BB" w:rsidRDefault="00AC16FD"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Nazwa licencji </w:t>
            </w:r>
          </w:p>
        </w:tc>
        <w:tc>
          <w:tcPr>
            <w:tcW w:w="1470" w:type="dxa"/>
            <w:tcBorders>
              <w:top w:val="single" w:sz="6" w:space="0" w:color="auto"/>
              <w:left w:val="nil"/>
              <w:bottom w:val="single" w:sz="6" w:space="0" w:color="auto"/>
              <w:right w:val="single" w:sz="6" w:space="0" w:color="auto"/>
            </w:tcBorders>
            <w:hideMark/>
          </w:tcPr>
          <w:p w14:paraId="64065E75" w14:textId="77777777" w:rsidR="00AC16FD" w:rsidRPr="003703BB" w:rsidRDefault="00AC16FD"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Okres </w:t>
            </w:r>
          </w:p>
        </w:tc>
        <w:tc>
          <w:tcPr>
            <w:tcW w:w="1560" w:type="dxa"/>
            <w:tcBorders>
              <w:top w:val="single" w:sz="6" w:space="0" w:color="auto"/>
              <w:left w:val="nil"/>
              <w:bottom w:val="single" w:sz="6" w:space="0" w:color="auto"/>
              <w:right w:val="single" w:sz="6" w:space="0" w:color="auto"/>
            </w:tcBorders>
            <w:hideMark/>
          </w:tcPr>
          <w:p w14:paraId="5B11B038" w14:textId="77777777" w:rsidR="00AC16FD" w:rsidRPr="003703BB" w:rsidRDefault="00AC16FD" w:rsidP="00EE7558">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Ilość </w:t>
            </w:r>
          </w:p>
        </w:tc>
      </w:tr>
      <w:tr w:rsidR="00AC16FD" w:rsidRPr="003703BB" w14:paraId="4A8ED85F" w14:textId="77777777" w:rsidTr="00AC16FD">
        <w:trPr>
          <w:trHeight w:val="300"/>
          <w:jc w:val="center"/>
        </w:trPr>
        <w:tc>
          <w:tcPr>
            <w:tcW w:w="3675" w:type="dxa"/>
            <w:tcBorders>
              <w:top w:val="nil"/>
              <w:left w:val="single" w:sz="6" w:space="0" w:color="auto"/>
              <w:bottom w:val="single" w:sz="6" w:space="0" w:color="auto"/>
              <w:right w:val="single" w:sz="6" w:space="0" w:color="auto"/>
            </w:tcBorders>
            <w:vAlign w:val="center"/>
            <w:hideMark/>
          </w:tcPr>
          <w:p w14:paraId="7A81BF58" w14:textId="0F78BEAE" w:rsidR="00AC16FD" w:rsidRPr="003703BB" w:rsidRDefault="00AC16FD" w:rsidP="00EE7558">
            <w:pPr>
              <w:spacing w:after="0" w:line="240" w:lineRule="auto"/>
              <w:textAlignment w:val="baseline"/>
              <w:rPr>
                <w:rFonts w:eastAsia="Times New Roman" w:cstheme="minorHAnsi"/>
                <w:sz w:val="18"/>
                <w:szCs w:val="18"/>
                <w:lang w:val="en-US" w:eastAsia="pl-PL"/>
              </w:rPr>
            </w:pPr>
            <w:r w:rsidRPr="003703BB">
              <w:rPr>
                <w:rFonts w:eastAsia="Times New Roman" w:cstheme="minorHAnsi"/>
                <w:sz w:val="18"/>
                <w:szCs w:val="18"/>
                <w:lang w:val="en-US" w:eastAsia="pl-PL"/>
              </w:rPr>
              <w:t xml:space="preserve">VMware </w:t>
            </w:r>
            <w:r>
              <w:rPr>
                <w:rFonts w:eastAsia="Times New Roman" w:cstheme="minorHAnsi"/>
                <w:sz w:val="18"/>
                <w:szCs w:val="18"/>
                <w:lang w:val="en-US" w:eastAsia="pl-PL"/>
              </w:rPr>
              <w:t>Site Recover Manager 8</w:t>
            </w:r>
          </w:p>
        </w:tc>
        <w:tc>
          <w:tcPr>
            <w:tcW w:w="1470" w:type="dxa"/>
            <w:tcBorders>
              <w:top w:val="nil"/>
              <w:left w:val="nil"/>
              <w:bottom w:val="single" w:sz="6" w:space="0" w:color="auto"/>
              <w:right w:val="single" w:sz="6" w:space="0" w:color="auto"/>
            </w:tcBorders>
            <w:vAlign w:val="center"/>
            <w:hideMark/>
          </w:tcPr>
          <w:p w14:paraId="5E968E60" w14:textId="77777777" w:rsidR="00AC16FD" w:rsidRPr="003703BB" w:rsidRDefault="00AC16FD" w:rsidP="00EE7558">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1560" w:type="dxa"/>
            <w:tcBorders>
              <w:top w:val="nil"/>
              <w:left w:val="nil"/>
              <w:bottom w:val="single" w:sz="6" w:space="0" w:color="auto"/>
              <w:right w:val="single" w:sz="6" w:space="0" w:color="auto"/>
            </w:tcBorders>
            <w:vAlign w:val="center"/>
            <w:hideMark/>
          </w:tcPr>
          <w:p w14:paraId="5CF1FD4A" w14:textId="69F71EF4" w:rsidR="00AC16FD" w:rsidRPr="003703BB" w:rsidRDefault="00AC16FD" w:rsidP="00EE7558">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50VM</w:t>
            </w:r>
          </w:p>
        </w:tc>
      </w:tr>
    </w:tbl>
    <w:p w14:paraId="19B1C611" w14:textId="77777777" w:rsidR="00AC16FD" w:rsidRPr="003703BB" w:rsidRDefault="00AC16FD" w:rsidP="00B63EC2">
      <w:pPr>
        <w:spacing w:before="20" w:after="120" w:line="240" w:lineRule="auto"/>
        <w:textAlignment w:val="baseline"/>
        <w:rPr>
          <w:rFonts w:eastAsia="Times New Roman" w:cstheme="minorHAnsi"/>
          <w:lang w:eastAsia="pl-PL"/>
        </w:rPr>
      </w:pPr>
    </w:p>
    <w:p w14:paraId="012D22FC" w14:textId="77777777" w:rsidR="00B63EC2" w:rsidRPr="003703BB" w:rsidRDefault="00B63EC2" w:rsidP="00B63EC2">
      <w:pPr>
        <w:spacing w:after="0" w:line="240" w:lineRule="auto"/>
        <w:textAlignment w:val="baseline"/>
        <w:rPr>
          <w:rFonts w:eastAsia="Times New Roman" w:cstheme="minorHAnsi"/>
          <w:color w:val="000000"/>
          <w:lang w:eastAsia="pl-PL"/>
        </w:rPr>
      </w:pPr>
      <w:r w:rsidRPr="003703BB">
        <w:rPr>
          <w:rFonts w:eastAsia="Times New Roman" w:cstheme="minorHAnsi"/>
          <w:color w:val="7E7E7E"/>
          <w:lang w:eastAsia="pl-PL"/>
        </w:rPr>
        <w:t> </w:t>
      </w:r>
    </w:p>
    <w:p w14:paraId="3BA3DDC3" w14:textId="77777777" w:rsidR="00B63EC2" w:rsidRPr="0007030B" w:rsidRDefault="00B63EC2" w:rsidP="00B63EC2">
      <w:pPr>
        <w:rPr>
          <w:rFonts w:cstheme="minorHAnsi"/>
          <w:b/>
          <w:bCs/>
        </w:rPr>
      </w:pPr>
      <w:r w:rsidRPr="0007030B">
        <w:rPr>
          <w:rFonts w:cstheme="minorHAnsi"/>
          <w:b/>
          <w:bCs/>
        </w:rPr>
        <w:t>Opis wymagań dla oprogramowania równoważnego</w:t>
      </w:r>
    </w:p>
    <w:p w14:paraId="187F4EDF" w14:textId="77777777" w:rsidR="00B63EC2" w:rsidRDefault="00B63EC2" w:rsidP="00B63EC2">
      <w:pPr>
        <w:pStyle w:val="paragraph"/>
        <w:spacing w:before="0" w:beforeAutospacing="0" w:after="0" w:afterAutospacing="0"/>
        <w:textAlignment w:val="baseline"/>
        <w:rPr>
          <w:rStyle w:val="normaltextrun"/>
          <w:rFonts w:asciiTheme="minorHAnsi" w:eastAsiaTheme="majorEastAsia" w:hAnsiTheme="minorHAnsi"/>
          <w:sz w:val="22"/>
          <w:szCs w:val="22"/>
        </w:rPr>
      </w:pPr>
    </w:p>
    <w:p w14:paraId="67017576" w14:textId="77777777" w:rsidR="00B63EC2" w:rsidRPr="00270B1C" w:rsidRDefault="00B63EC2" w:rsidP="00B63EC2">
      <w:pPr>
        <w:pStyle w:val="paragraph"/>
        <w:spacing w:before="0" w:beforeAutospacing="0" w:after="0" w:afterAutospacing="0"/>
        <w:textAlignment w:val="baseline"/>
        <w:rPr>
          <w:rStyle w:val="normaltextrun"/>
          <w:rFonts w:asciiTheme="minorHAnsi" w:eastAsiaTheme="majorEastAsia" w:hAnsiTheme="minorHAnsi"/>
          <w:sz w:val="22"/>
          <w:szCs w:val="22"/>
        </w:rPr>
      </w:pPr>
      <w:r w:rsidRPr="00270B1C">
        <w:rPr>
          <w:rStyle w:val="normaltextrun"/>
          <w:rFonts w:asciiTheme="minorHAnsi" w:eastAsiaTheme="majorEastAsia" w:hAnsiTheme="minorHAnsi"/>
          <w:sz w:val="22"/>
          <w:szCs w:val="22"/>
        </w:rPr>
        <w:t>Zamawiający dopuszcza rozwiązanie równoważne które posiada i realizuje następujące parametry  </w:t>
      </w:r>
      <w:r w:rsidRPr="00270B1C">
        <w:rPr>
          <w:rStyle w:val="normaltextrun"/>
          <w:rFonts w:asciiTheme="minorHAnsi" w:eastAsiaTheme="majorEastAsia" w:hAnsiTheme="minorHAnsi"/>
          <w:sz w:val="22"/>
          <w:szCs w:val="22"/>
        </w:rPr>
        <w:br/>
        <w:t>i funkcjonalności: </w:t>
      </w:r>
    </w:p>
    <w:p w14:paraId="3E040F67"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być instalowane bezpośrednio na sprzęcie fizycznym i nie może być ono częścią innego systemu operacyjnego  </w:t>
      </w:r>
    </w:p>
    <w:p w14:paraId="3CCFAC99"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W zaoferowanym oprogramowaniu warstwa wirtualizacji nie może dla własnych celów alokować więcej niż 700MB pamięci operacyjnej RAM serwera fizycznego  </w:t>
      </w:r>
    </w:p>
    <w:p w14:paraId="061D3CAE"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zainstalowane na serwerze fizycznym musi potrafić obsłużyć i wykorzystać procesory fizyczne tego serwera wyposażone w 768 logicznych wątków, 24TB pamięci fizycznej RAM tego serwera oraz 16 procesorów fizycznych tego serwera </w:t>
      </w:r>
    </w:p>
    <w:p w14:paraId="2AADA38C"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zapewnić możliwość skonfigurowania maszyn wirtualnych z ilością od 1 do 768 procesorów wirtualnych </w:t>
      </w:r>
    </w:p>
    <w:p w14:paraId="6267FE82"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zapewnić możliwość skonfigurowania maszyn wirtualnych z możliwością przydzielenia do 24 TB pamięci operacyjnej RAM </w:t>
      </w:r>
    </w:p>
    <w:p w14:paraId="4A9BBA76"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zapewnić możliwość skonfigurowania maszyn wirtualnych z możliwością przydzielenia od 1 do 10 wirtualnych kart sieciowych dla każdej z nich. Dodatkowo, oprogramowanie musi posiadać możliwość utworzenia maszyny wirtualnej bez przydzielonej wirtualnej karty sieciowej. </w:t>
      </w:r>
    </w:p>
    <w:p w14:paraId="534D16A9"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zapewnić możliwość skonfigurowania maszyn wirtualnych, z których każda może mieć 32 porty szeregowe, 3 porty równoległe i 20 urządzeń USB  </w:t>
      </w:r>
    </w:p>
    <w:p w14:paraId="4F6B2A69"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musi wspierać minimum następujące systemy operacyjne: Windows Server 2012/2016/2019/2022, Windows 8/10/11, RHEL 6/7/8/9, SLES 12/15, Debian 10/11, CentOS 7/8, Ubuntu 16/18/20/22, Photon OS 2/3/4, Oracle Linux 6/7/8/9, FreeBSD 12/13, Asianux 4/7, Rocky Linux 8/9 </w:t>
      </w:r>
    </w:p>
    <w:p w14:paraId="5D46CFE4"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W celu osiągnięcia maksymalnego współczynnika konsolidacji, zaoferowane oprogramowanie musi umożliwiać przydzielenie łącznie większej ilości pamięci RAM dla maszyn wirtualnych niż fizyczne zasoby RAM serwera, na którym maszyny te są posadowione  </w:t>
      </w:r>
    </w:p>
    <w:p w14:paraId="00A23E31"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Rozwiązanie musi umożliwiać udostępnienie maszynie wirtualnej większej ilości zasobów dyskowych niż jest fizycznie dostępne na zasobach dyskowych  </w:t>
      </w:r>
    </w:p>
    <w:p w14:paraId="6B38818A"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lastRenderedPageBreak/>
        <w:t>Zaoferowane oprogramowanie musi umożliwiać integrację z rozwiązaniami antywirusowymi firm trzecich w zakresie skanowania maszyn wirtualnych z poziomu warstwy wirtualizacji bez ingerencji w systemy operacyjne maszyn wirtualnych (bezagentowość) </w:t>
      </w:r>
    </w:p>
    <w:p w14:paraId="71CE7D9F"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musi zapewniać zdalny i lokalny dostęp administracyjny do wszystkich serwerów fizycznych poprzez protokół SSH, z możliwością nadawania uprawnień do takiego dostępu nazwanym użytkownikom bez konieczności wykorzystania konta „root” </w:t>
      </w:r>
    </w:p>
    <w:p w14:paraId="19B6371F" w14:textId="77777777" w:rsidR="00B63EC2" w:rsidRPr="00270B1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270B1C">
        <w:rPr>
          <w:rFonts w:eastAsia="Times New Roman" w:cstheme="minorHAnsi"/>
          <w:color w:val="242424"/>
          <w:sz w:val="21"/>
          <w:szCs w:val="21"/>
          <w:lang w:eastAsia="pl-PL"/>
        </w:rPr>
        <w:t>Zaoferowane oprogramowanie do wirtualizacji musi zapewnić możliwość powielania maszyn wirtualnych wraz z ich pełną konfiguracją i danymi</w:t>
      </w:r>
    </w:p>
    <w:p w14:paraId="7E6D6B90"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do wirtualizacji musi zapewnić możliwość wykonywania kopii migawkowych instancji systemów operacyjnych na potrzeby tworzenia kopii zapasowych bez przerywania ich pracy z możliwością konieczności zachowania stanu pamięci pracującej maszyny wirtualnej.  </w:t>
      </w:r>
    </w:p>
    <w:p w14:paraId="46C46235"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Konsola zarządzająca zaoferowanego oprogramowania musi posiadać możliwość przydzielania i konfiguracji uprawnień z możliwością integracji z usługami katalogowymi, minimalnie z: Microsoft Active Directory i Open LDAP oraz umożliwiać federacyjne zarządzanie tożsamością w oparciu o Microsoft Active Directory Federation Services (ADFS).</w:t>
      </w:r>
    </w:p>
    <w:p w14:paraId="76F85E7F"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musi zapewniać możliwość dodawania zasobów w czasie pracy maszyny wirtualnej, w szczególności w zakresie ilości procesorów, pamięci operacyjnej i przestrzeni dyskowej  </w:t>
      </w:r>
    </w:p>
    <w:p w14:paraId="314E26C6"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musi posiadać funkcjonalność tworzenia wirtualnego przełącznika (virtual switch) umożliwiającego tworzenie sieci wirtualnej w obszarze hosta (hypervisora wirtualizacyjnego) i pozwalającego połączyć tym przełącznikiem maszyny wirtualne w obszarze jednego hosta, a także na zewnątrz sieci fizycznej. Pojedynczy przełącznik wirtualny powinien mieć możliwość konfiguracji aż do 4096 portów </w:t>
      </w:r>
    </w:p>
    <w:p w14:paraId="1E323E7E"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Pojedynczy wirtualny przełącznik w zaoferowanym oprogramowaniu, w celu zapewnienia bezpieczeństwa połączenia ethernetowego w razie awarii fizycznej karty sieciowej, musi posiadać możliwość przyłączania do niego minimum dwóch fizycznych kart sieciowych  </w:t>
      </w:r>
    </w:p>
    <w:p w14:paraId="089422F8"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Wirtualne przełączniki w zaoferowane oprogramowaniu muszą posiadać funkcjonalność obsługi wirtualnych sieci lokalnych (VLAN)  </w:t>
      </w:r>
    </w:p>
    <w:p w14:paraId="360E4A9A"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musi umożliwiać wykorzystanie technologii przepustowości sieci komputerowych do 200GbE poprzez agregację połączeń fizycznych do minimalizacji czasu przenoszenia maszyny wirtualnej pomiędzy serwerami fizycznymi  </w:t>
      </w:r>
    </w:p>
    <w:p w14:paraId="5D50CCDC"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do wirtualizacji musi obsługiwać przełączenie ścieżek LAN (bez utraty komunikacji) w przypadku awarii jednej ze ścieżek  </w:t>
      </w:r>
    </w:p>
    <w:p w14:paraId="7FD008BB"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musi zapewnić możliwość zdefiniowania alertów informujących o przekroczeniu wartości progowych </w:t>
      </w:r>
    </w:p>
    <w:p w14:paraId="6AEBF4F4"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w przypadku działania pod zarządcą klastra VMware vCenter,  musi zapewniać możliwość replikacji maszyn wirtualnych z dowolnej pamięci masowej w tym z dysków wewnętrznych serwerów fizycznych na dowolną pamięć masową w tym samym lub oddalonym ośrodku przetwarzania. Replikacja musi gwarantować współczynnik RPO (ang. Recovery Point Objective) na poziomie minimum 5 minut  </w:t>
      </w:r>
    </w:p>
    <w:p w14:paraId="79211AC4"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do wirtualizacji musi obsługiwać przełączenie ścieżek SAN (bez utraty komunikacji) w przypadku awarii jednej ze ścieżek  </w:t>
      </w:r>
    </w:p>
    <w:p w14:paraId="060CC13A"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Zaoferowane oprogramowanie, w przypadku działania pod zarządcą klastra VMware vCenter, musi mieć możliwość przenoszenia maszyn wirtualnych pomiędzy serwerami fizycznymi bez przerywania pracy usług na przenoszonych maszynach wirtualnych. Wymaga się wsparcia natywnego szyfrowania ruchu sieciowego dla maszyn wirtualnych podczas ich przenoszenia między serwerami fizycznymi </w:t>
      </w:r>
    </w:p>
    <w:p w14:paraId="325D7077" w14:textId="77777777" w:rsidR="00B63EC2" w:rsidRPr="00965FBC"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lastRenderedPageBreak/>
        <w:t>Zaoferowane oprogramowanie, w przypadku działania pod zarządcą klastra VMware vCenter, oraz w środowisku z więcej niż pojedynczym wirtualizatorem, musi umożliwiać automatyczne, ponowne uruchomienie maszyn wirtualnych w przypadku awarii jednego z wirtualizatorów na kolejnym, działającym w tym samym klastrze wirtualizatorze (funkcjonalność HA) (ang. high availability) </w:t>
      </w:r>
    </w:p>
    <w:p w14:paraId="45B0470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965FBC">
        <w:rPr>
          <w:rFonts w:eastAsia="Times New Roman" w:cstheme="minorHAnsi"/>
          <w:color w:val="242424"/>
          <w:sz w:val="21"/>
          <w:szCs w:val="21"/>
          <w:lang w:eastAsia="pl-PL"/>
        </w:rPr>
        <w:t xml:space="preserve">Zaoferowane oprogramowanie, w przypadku działania pod zarządcą klastra VMware vCenter w środowisku z minimalnie dwoma wirtualizatorami oraz w przypadku potrzeby </w:t>
      </w:r>
      <w:r w:rsidRPr="00E809EE">
        <w:rPr>
          <w:rFonts w:eastAsia="Times New Roman" w:cstheme="minorHAnsi"/>
          <w:color w:val="242424"/>
          <w:sz w:val="21"/>
          <w:szCs w:val="21"/>
          <w:lang w:eastAsia="pl-PL"/>
        </w:rPr>
        <w:t>wgrania aktualizacji do warstwy wirtualizacji, musi posiadać możliwość w przypadku wywołania startu aktualizacji, automatycznego przeniesienia bezprzerwowego działających maszyn wirtualnych do innego wirtualizatora nie objętego aktualizacją, przed rozpoczęciem samej aktualizacji </w:t>
      </w:r>
    </w:p>
    <w:p w14:paraId="16A150BA"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co najmniej 2 niezależne mechanizmy wzajemnej komunikacji między serwerami z zainstalowanym wirtualizatorem oraz z serwerem zarządzającym, gwarantujące właściwe działanie mechanizmów wysokiej dostępności na wypadek izolacji sieciowej serwerów fizycznych lub partycjonowania sieci  </w:t>
      </w:r>
    </w:p>
    <w:p w14:paraId="45A2B51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w środowisku z minimum dwoma wirtualizatorami, musi zapewniać pracę bez przestojów dla wybranych maszyn wirtualnych (o maksymalnie dwóch procesorach wirtualnych), niezależnie od systemu operacyjnego oraz aplikacji, podczas awarii wirtualizatora, bez utraty danych i dostępności danych na maszynach wirtualnych objętych ochroną</w:t>
      </w:r>
    </w:p>
    <w:p w14:paraId="0E0A95DE"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do wirtualizacji musi zapewniać możliwość stworzenia dysku maszyny wirtualnej o wielkości 62 TB  </w:t>
      </w:r>
    </w:p>
    <w:p w14:paraId="47241CF2"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wbudowany interfejs programistyczny (API) zapewniający pełną integrację zewnętrznych rozwiązań wykonywania kopii zapasowych z istniejącymi mechanizmami warstwy wirtualizacyjnej  </w:t>
      </w:r>
    </w:p>
    <w:p w14:paraId="4F774BB3"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Producent zaoferowanego oprogramowania do wirtualizacji musi wspierać rozwiązania do automatyzacji procesów oraz wirtualizacji sieci (SDN, ang. software defined network).  </w:t>
      </w:r>
    </w:p>
    <w:p w14:paraId="2E9FFF6D"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mechanizmy zaawansowanego uwierzytelniania do systemu operacyjnego wirtualnej maszyny za pomocą technologii Smart Card Reader </w:t>
      </w:r>
    </w:p>
    <w:p w14:paraId="4B16B391"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TPM 2.0. Minimalne wymaganie Zamawiającego dla TPM oznacza, że TPM zapewnia mechanizm gwarantujący, że serwer fizyczny, na którym zainstalowane jest zaoferowane oprogramowanie, uruchomił się z włączoną opcją Secure Boot. Po potwierdzeniu, że Secure Boot jest włączone, system gwarantuje, poprzez weryfikację podpisu cyfrowego, że hypervisor uruchomił się w niezmienionej formie   </w:t>
      </w:r>
    </w:p>
    <w:p w14:paraId="40F399A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Wirtualizator w zaoferowanym oprogramowaniu musi mieć możliwość włączenia funkcji “Microsoft virtualization-based security”, tzw. Microsoft VBS dla systemów operacyjnych maszyn wirtualnych opartych o system operacyjny Microsoft Windows 10, Microsoft Windows Server 2016 oraz Microsoft Windows Server 2019 </w:t>
      </w:r>
    </w:p>
    <w:p w14:paraId="5C5A0BD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certyfikację FIPS-140-2 min. dla modułu jądra wirtualizatora odpowiedzialnego za szyfrowanie danych </w:t>
      </w:r>
    </w:p>
    <w:p w14:paraId="0585C440"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funkcjonalność wirtualnego TPM 2.0 dla maszyn wirtualnych z zainstalowanym Microsoft Windows 10 oraz Microsoft Windows 2016. Zamawiający wymaga aby z punktu widzenia maszyny wirtualnej z systemem operacyjnym Microsoft Windows 10 lub Microsoft Windows 2016 wirtualny TPM widziany był jako standardowy TPM, gdzie można przechowywać bezpiecznie wrażliwe dane np. certyfikaty. Zawartość wirtualnego TPM musi być przechowywana w pliku przynależnym do maszyny wirtualnej oraz musi być szyfrowana.  </w:t>
      </w:r>
    </w:p>
    <w:p w14:paraId="77C6901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 xml:space="preserve">Zaoferowane oprogramowanie musi posiadać funkcjonalność szybkiego uruchamiania wirtualizatora po przeprowadzonym procesie jego aktualizacji. Zamawiający wymaga aby </w:t>
      </w:r>
      <w:r w:rsidRPr="00E809EE">
        <w:rPr>
          <w:rFonts w:eastAsia="Times New Roman" w:cstheme="minorHAnsi"/>
          <w:color w:val="242424"/>
          <w:sz w:val="21"/>
          <w:szCs w:val="21"/>
          <w:lang w:eastAsia="pl-PL"/>
        </w:rPr>
        <w:lastRenderedPageBreak/>
        <w:t>w procesie aktualizacji wirtualizatora, jeśli wymagany jest jego restart, funkcjonalność szybkiego uruchamiania powodowała eliminację czasochłonnej fazy inicjalizacji serwera fizycznego </w:t>
      </w:r>
    </w:p>
    <w:p w14:paraId="1793593E"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posiadać możliwość aktualizacji i kontroli wersji oprogramowania do wirtualizacji w ramach klastra serwerów z poziomu centralnej konsoli zarządzającej. Dodatkowo centralna konsola zarządzająca musi posiadać funkcjonalność aktualizacji firmware komponentów serwera fizycznego (dyski, kontrolery, karty sieciowe) z poziomu konsoli zarządzającej wirtualizatora. Konsola zarządzająca musi mieć możliwość automatycznej weryfikacji, czy zainstalowane komponenty serwera posiadają rekomendowaną wersję sterowników i firmware, eliminując ryzyko pracy na nieaktualnych wersjach. Taka funkcjonalność powinna być dostępna dla minimum dwóch producentów serwerów obecnych na rynku </w:t>
      </w:r>
    </w:p>
    <w:p w14:paraId="0AD355B3"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wsparcie dla natywnych dysków 4K </w:t>
      </w:r>
    </w:p>
    <w:p w14:paraId="688B740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protokół precyzyjnej synchronizacji czasu PTP (ang. Precision Time Protocol) </w:t>
      </w:r>
    </w:p>
    <w:p w14:paraId="48EE9BF0"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posiadać mechanizm, który ogranicza dostęp do indywidualnego zarządzania warstwą wirtualizacji na serwerach fizycznych w ramach klastra serwerów w celu utwardzenia/hardening (maksymalnego zwiększenia bezpieczeństwa dostępu) systemu wirtualizacji. </w:t>
      </w:r>
    </w:p>
    <w:p w14:paraId="04E121E7"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mieć funkcjonalność migracji w trybie rzeczywistym dysków działających maszyn wirtualnych z jednego podsystemu dyskowego do innego bez konieczności przerywania pracy maszyny wirtualnej, której dysk jest migrowany </w:t>
      </w:r>
    </w:p>
    <w:p w14:paraId="4BDE5AF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obejmuje walidację FIPS, a także zaktualizowane przewodniki audytów. </w:t>
      </w:r>
    </w:p>
    <w:p w14:paraId="2C5534A3"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mieć możliwość utworzenia, poprzez API, maszyny wirtualnej jako tzw. Instant Clone poprzez klonowanie działającej maszyny wirtualnej w wyniku którego powstanie nowa działająca maszyna wirtualna identyczna z klonowaną. Nowa maszyna wirtualna musi powstawać w pamięci operacyjnej wirtualizatora </w:t>
      </w:r>
    </w:p>
    <w:p w14:paraId="5BD128CE"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mieć możliwość monitorowania i wyświetlania za pomocą grafu w konsoli bieżącego poboru energii elektrycznej dla hosta wirtualizacyjnego oraz dla maszyn wirtualnych na nim posadowionych </w:t>
      </w:r>
    </w:p>
    <w:p w14:paraId="02174DA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podczas pracy w klastrze zarządzanym przez VMware vCenter musi umożliwiać automatyczne równoważenie obciążenia CPU/MEM serwerów fizycznych pracujących jako platforma dla infrastruktury wirtualnej</w:t>
      </w:r>
    </w:p>
    <w:p w14:paraId="530A4825"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certyfikację dla pakietu NVIDIA AI Enterprise, natywnego dla chmury zbioru zoptymalizowanych aplikacji AI i frameworków przeznaczonych dla kompleksowego rozwiązania AI;  </w:t>
      </w:r>
    </w:p>
    <w:p w14:paraId="4C7E9CC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umożliwiać włączenie najnowszej generacji procesorów graficznych NVIDIA do swojego środowiska wirtualnego i skorzystanie z takich funkcji jak Multi-Instance GPU (MIG), pozwalające na współdzielenie cykli GPU przez wielu użytkowników. </w:t>
      </w:r>
    </w:p>
    <w:p w14:paraId="3051F110"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do wirtualizacji, w przypadku działania pod zarządcą klastra VMware vCenter, musi zapewniać mechanizm pozwalający tworzyć profil (szablon konfiguracji) wybranego serwera wirtualizacyjnego (Hypervisora), a następnie wymuszać ten profil/konfigurację na innych serwerach fizycznych lub sprawdzać zgodność konfiguracji pomiędzy zdefiniowanym wcześniej profilem a wskazanym serwerem fizycznym </w:t>
      </w:r>
    </w:p>
    <w:p w14:paraId="5299BA12"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 xml:space="preserve">Zaoferowane oprogramowanie, w przypadku działania pod zarządcą klastra VMware vCenter, musi umożliwiać utworzenie w nim jednorodnego, wirtualnego przełącznika sieciowego, rozproszonego na wszystkie serwery fizyczne istniejące w tym klastrze. Przełącznik taki musi zapewniać możliwość konfiguracji parametrów sieciowych </w:t>
      </w:r>
      <w:r w:rsidRPr="00E809EE">
        <w:rPr>
          <w:rFonts w:eastAsia="Times New Roman" w:cstheme="minorHAnsi"/>
          <w:color w:val="242424"/>
          <w:sz w:val="21"/>
          <w:szCs w:val="21"/>
          <w:lang w:eastAsia="pl-PL"/>
        </w:rPr>
        <w:lastRenderedPageBreak/>
        <w:t>maszyny wirtualnej z granulacją na poziomie portu tego przełącznika. Pojedyncza maszyna wirtualna musi mieć możliwość wykorzystania jednego lub wielu portów przełącznika z niezależną od siebie konfiguracją. Przełącznik rozproszony musi współpracować z protokołem NetFlow </w:t>
      </w:r>
    </w:p>
    <w:p w14:paraId="6E841469"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umożliwia uruchamianie poufnych kontenerów w serwerach opartych na procesorach EPYC ™ firmy AMD. </w:t>
      </w:r>
    </w:p>
    <w:p w14:paraId="5C0FF21C"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do wirtualizacji, w ramach zaimplementowanego w nim rozproszonego przełącznika sieciowego, powinno zapewniać możliwość integracji z produktami (przełącznikami wirtualnymi) firm trzecich, tak aby umożliwić granularną delegację zadań w zakresie zarządzania konfiguracją sieci do zespołów sieciowych </w:t>
      </w:r>
    </w:p>
    <w:p w14:paraId="6AC800A6"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Zaimplementowany w zaoferowanym oprogramowaniu przełącznik rozproszony musi umożliwiać funkcjonalność duplikowania ruchu sieciowego dowolnego jego portu wirtualnego na inny port </w:t>
      </w:r>
    </w:p>
    <w:p w14:paraId="15CDD066"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Zaimplementowany w zaoferowanym oprogramowaniu przełącznik rozproszony musi mieć wbudowane mechanizmy składowania kopii konfiguracji, przywracania tej kopii a także mechanizmy automatycznie zapobiegające niewłaściwej konfiguracji sieciowej, które w całości lub w części mogą eliminować błędy ludzkie i utratę łączności sieciowej </w:t>
      </w:r>
    </w:p>
    <w:p w14:paraId="13C0A8B5"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mieć wbudowany mechanizm kontrolowania i monitorowania ruchu sieciowego oraz ustalania priorytetów w zależności od jego rodzaju na poziomie konkretnych maszyn wirtualnych</w:t>
      </w:r>
    </w:p>
    <w:p w14:paraId="6114DE73"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mieć możliwość uruchamiania fizycznych serwerów z centralnie przygotowanego obrazu poprzez protokół PXE </w:t>
      </w:r>
    </w:p>
    <w:p w14:paraId="78A6D28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zapewnić możliwość bieżącego monitorowania wykorzystania zasobów fizycznych infrastruktury wirtualnej (np. wykorzystanie procesorów, pamięci RAM, wykorzystanie przestrzeni na dyskach/wolumenach) oraz przechowywać i wyświetlać dane historyczne</w:t>
      </w:r>
    </w:p>
    <w:p w14:paraId="32E8067F"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mieć możliwość przenoszenia maszyn wirtualnych w czasie ich pracy pomiędzy serwerami fizycznymi, pamięciami masowymi niezależnie od dostępności współdzielonej przestrzeni dyskowej, różnymi rodzajami wirtualnych przełączników sieciowych oraz pomiędzy różnymi Centrami Przetwarzania Danych platformami wirtualnej </w:t>
      </w:r>
    </w:p>
    <w:p w14:paraId="0A4E147A"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w środowisku z minimum dwoma wirtualizatorami, musi zapewniać pracę bez przestojów dla wybranych maszyn wirtualnych (o maksymalnie ośmiu procesorach wirtualnych), niezależnie od systemu operacyjnego oraz aplikacji, podczas awarii wirtualizatora, bez utraty danych i dostępności danych na maszynach wirtualnych objętych ochroną </w:t>
      </w:r>
    </w:p>
    <w:p w14:paraId="707433B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mieć wbudowany mechanizm kontrolowania i monitorowania ruchu do pamięci masowych oraz ustalania priorytetów dostępu do nich na poziomie konkretnych wirtualnych maszyn </w:t>
      </w:r>
    </w:p>
    <w:p w14:paraId="34F17B9B"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w przypadku działania pod zarządcą klastra VMware vCenter,  musi mieć możliwość grupowania pamięci masowych o podobnych parametrach w grupy i przydzielania ich do wirtualnych maszyn zgodnie z ustaloną przez administratora polityką </w:t>
      </w:r>
    </w:p>
    <w:p w14:paraId="2F1FA7BA"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umożliwiać udostępnianie pojedynczego urządzenia fizycznego (PCIe) jako logicznie separowanego wirtualnego urządzenia dedykowanego dla poszczególnych maszyn wirtualnych</w:t>
      </w:r>
    </w:p>
    <w:p w14:paraId="6C7249CF"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 xml:space="preserve">Zaoferowane oprogramowanie, w przypadku działania pod zarządcą klastra VMware vCenter musi mieć możliwość równoważenia obciążenia i zajętości pamięci masowych wraz z pełną automatyką i przenoszeniem plików wirtualnych maszyn z bardziej zajętych </w:t>
      </w:r>
      <w:r w:rsidRPr="00E809EE">
        <w:rPr>
          <w:rFonts w:eastAsia="Times New Roman" w:cstheme="minorHAnsi"/>
          <w:color w:val="242424"/>
          <w:sz w:val="21"/>
          <w:szCs w:val="21"/>
          <w:lang w:eastAsia="pl-PL"/>
        </w:rPr>
        <w:lastRenderedPageBreak/>
        <w:t>na mniej zajęte przestrzenie dyskowe lub/i z przestrzeni dyskowych bardziej obciążonych operacjami I/O na mniej obciążone </w:t>
      </w:r>
    </w:p>
    <w:p w14:paraId="77866FB9"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technologię rozproszonego udostępniania procesora graficznego Nvidia Grid vGPU zainstalowanego w serwerze fizycznym do maszyn wirtualnych </w:t>
      </w:r>
    </w:p>
    <w:p w14:paraId="7B79113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funkcjonalność trwałej, nieulotnej pamięci (ang. Persistent Memory) </w:t>
      </w:r>
    </w:p>
    <w:p w14:paraId="6E95E19D"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protokół Remote Direct Memory Access (RDMA) poprzez konwergentny Ethernet, lub RoCE (“rocky”) v2 i  iSCSI rozszerzenie dla RDMA (iSER). Wymaga się aby maszyny wirtualne można było konfigurować z wykorzystaniem protokołu RDMA </w:t>
      </w:r>
    </w:p>
    <w:p w14:paraId="06FD2944"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posiadać możliwość testowania wybranych serwerów (w szczególności tych, na których uruchomione są aplikacje przetwarzające dane wrażliwe i które mają dostęp do kluczy szyfrujących maszyny wirtualne) w celu weryfikacji, czy oprogramowanie jest autentyczne i nie zostało zmodyfikowane. Funkcjonalność ta powinna działać w oparciu o chip TPM 2.0 zainstalowany w serwerze i powinna odbywać się poza centralną konsolą zarządzającą (która sama jest maszyną wirtualną) wyłącznie w oparciu o sprzętowe źródło zaufania (hardware root of trust). Tylko serwery, które przejdą weryfikację mogą mieć dostęp do kluczy szyfrujących </w:t>
      </w:r>
    </w:p>
    <w:p w14:paraId="3924D877"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W przypadku pracy w oparciu o zarządzanie z centralnej konsoli zarządzającej, centralna konsola zarządzająca musi wspierać możliwość wcześniejszego i automatycznego przetestowania wpływu jej aktualizacji na pozostałe podłączone do niej komponenty klastra oraz uruchomione na nim funkcjonalności. Musi również wspierać proces aktualizacji całego klastra poprzez automatyczne raportowanie kolejności aktualizacji podłączonych do niej komponentów i rekomendowanej ich wersji. </w:t>
      </w:r>
    </w:p>
    <w:p w14:paraId="55912100"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możliwość eksportu konfiguracji centralnej konsoli zarządzającej wirtualizacją przez API i umożliwiać wykorzystanie jej jako szablonu przy kreowaniu kolejnych instancji centralnej konsoli zarządzającej oraz do weryfikacji poprawności konfiguracji zainstalowanych już instancji.  </w:t>
      </w:r>
    </w:p>
    <w:p w14:paraId="3BABD9B0" w14:textId="77777777" w:rsidR="00B63EC2" w:rsidRPr="00E809EE" w:rsidRDefault="00B63EC2" w:rsidP="00B63EC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funkcje DPU (ang. Digital Processing Unit) na zasadzie przekazywania obciążen sieci wirtualnej z hipervisora do oddzielnej jednostki DPU zainstalowanej w serwerze fizycznym </w:t>
      </w:r>
    </w:p>
    <w:p w14:paraId="4546ADDF" w14:textId="49788DDE" w:rsidR="00DC3174" w:rsidRDefault="00B63EC2" w:rsidP="00B63EC2">
      <w:pPr>
        <w:rPr>
          <w:rFonts w:eastAsia="Times New Roman" w:cstheme="minorHAnsi"/>
          <w:color w:val="242424"/>
          <w:sz w:val="21"/>
          <w:szCs w:val="21"/>
          <w:lang w:eastAsia="pl-PL"/>
        </w:rPr>
      </w:pPr>
      <w:r w:rsidRPr="00E809EE">
        <w:rPr>
          <w:rFonts w:eastAsia="Times New Roman" w:cstheme="minorHAnsi"/>
          <w:color w:val="242424"/>
          <w:sz w:val="21"/>
          <w:szCs w:val="21"/>
          <w:lang w:eastAsia="pl-PL"/>
        </w:rPr>
        <w:t>Zaoferowane oprogramowanie musi wspierać funkcjonalność bezpośredniego tworzenia kontenerów oraz klastrów Kubernetes  na hiperwizorze (warstwie wirtualizatora) za pomocą dostarczonej konsoli zarządzającej Kubernetes (Kubectl) – jeśli włączenie tej funkcji w warstwie wirtualizatora może wymagać dodatkowej licencji/subskrypcji, Zamawiający nie wymaga tej licencji w przedmiotowym postepowaniu </w:t>
      </w:r>
    </w:p>
    <w:p w14:paraId="30E76474" w14:textId="380571B6" w:rsidR="00F41EE0" w:rsidRPr="00F41EE0" w:rsidRDefault="00F41EE0" w:rsidP="00B63EC2">
      <w:pPr>
        <w:rPr>
          <w:rFonts w:eastAsia="Times New Roman" w:cstheme="minorHAnsi"/>
          <w:b/>
          <w:bCs/>
          <w:color w:val="242424"/>
          <w:sz w:val="21"/>
          <w:szCs w:val="21"/>
          <w:lang w:eastAsia="pl-PL"/>
        </w:rPr>
      </w:pPr>
    </w:p>
    <w:p w14:paraId="43E8161A" w14:textId="3C137659" w:rsidR="00F41EE0" w:rsidRPr="00F41EE0" w:rsidRDefault="00B7288B" w:rsidP="00B63EC2">
      <w:pPr>
        <w:pStyle w:val="paragraph"/>
        <w:numPr>
          <w:ilvl w:val="0"/>
          <w:numId w:val="2"/>
        </w:numPr>
        <w:spacing w:before="0" w:beforeAutospacing="0" w:after="0" w:afterAutospacing="0"/>
        <w:textAlignment w:val="baseline"/>
        <w:rPr>
          <w:rStyle w:val="normaltextrun"/>
          <w:b/>
          <w:bCs/>
        </w:rPr>
      </w:pPr>
      <w:r>
        <w:rPr>
          <w:rStyle w:val="normaltextrun"/>
          <w:rFonts w:eastAsiaTheme="majorEastAsia" w:cstheme="minorBidi"/>
          <w:b/>
          <w:bCs/>
          <w:sz w:val="22"/>
          <w:szCs w:val="22"/>
        </w:rPr>
        <w:t>zakup subskrypcji</w:t>
      </w:r>
      <w:r w:rsidR="00F41EE0" w:rsidRPr="00F41EE0">
        <w:rPr>
          <w:rStyle w:val="normaltextrun"/>
          <w:rFonts w:eastAsiaTheme="majorEastAsia" w:cstheme="minorBidi"/>
          <w:b/>
          <w:bCs/>
          <w:sz w:val="22"/>
          <w:szCs w:val="22"/>
        </w:rPr>
        <w:t xml:space="preserve"> poniższych licencji Red Hat </w:t>
      </w:r>
    </w:p>
    <w:p w14:paraId="08CB5A02" w14:textId="7C48A3D0" w:rsidR="00F41EE0" w:rsidRDefault="00F41EE0" w:rsidP="00F41EE0">
      <w:pPr>
        <w:pStyle w:val="paragraph"/>
        <w:spacing w:before="0" w:beforeAutospacing="0" w:after="0" w:afterAutospacing="0"/>
        <w:textAlignment w:val="baseline"/>
        <w:rPr>
          <w:rStyle w:val="normaltextrun"/>
          <w:rFonts w:eastAsiaTheme="majorEastAsia" w:cstheme="minorBidi"/>
          <w:b/>
          <w:bCs/>
          <w:sz w:val="22"/>
          <w:szCs w:val="22"/>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1470"/>
        <w:gridCol w:w="2265"/>
        <w:gridCol w:w="1560"/>
      </w:tblGrid>
      <w:tr w:rsidR="00F41EE0" w:rsidRPr="003703BB" w14:paraId="226C4068" w14:textId="77777777" w:rsidTr="00B107E4">
        <w:trPr>
          <w:trHeight w:val="300"/>
        </w:trPr>
        <w:tc>
          <w:tcPr>
            <w:tcW w:w="3675" w:type="dxa"/>
            <w:tcBorders>
              <w:top w:val="single" w:sz="6" w:space="0" w:color="auto"/>
              <w:left w:val="single" w:sz="6" w:space="0" w:color="auto"/>
              <w:bottom w:val="single" w:sz="6" w:space="0" w:color="auto"/>
              <w:right w:val="single" w:sz="6" w:space="0" w:color="auto"/>
            </w:tcBorders>
            <w:hideMark/>
          </w:tcPr>
          <w:p w14:paraId="5A7570D8"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Nazwa licencji </w:t>
            </w:r>
          </w:p>
        </w:tc>
        <w:tc>
          <w:tcPr>
            <w:tcW w:w="1470" w:type="dxa"/>
            <w:tcBorders>
              <w:top w:val="single" w:sz="6" w:space="0" w:color="auto"/>
              <w:left w:val="nil"/>
              <w:bottom w:val="single" w:sz="6" w:space="0" w:color="auto"/>
              <w:right w:val="single" w:sz="6" w:space="0" w:color="auto"/>
            </w:tcBorders>
            <w:hideMark/>
          </w:tcPr>
          <w:p w14:paraId="6676EF6D"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Okres </w:t>
            </w:r>
          </w:p>
        </w:tc>
        <w:tc>
          <w:tcPr>
            <w:tcW w:w="2265" w:type="dxa"/>
            <w:tcBorders>
              <w:top w:val="single" w:sz="6" w:space="0" w:color="auto"/>
              <w:left w:val="nil"/>
              <w:bottom w:val="single" w:sz="6" w:space="0" w:color="auto"/>
              <w:right w:val="single" w:sz="6" w:space="0" w:color="auto"/>
            </w:tcBorders>
            <w:hideMark/>
          </w:tcPr>
          <w:p w14:paraId="7BCC0415"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Numer produktu </w:t>
            </w:r>
          </w:p>
        </w:tc>
        <w:tc>
          <w:tcPr>
            <w:tcW w:w="1560" w:type="dxa"/>
            <w:tcBorders>
              <w:top w:val="single" w:sz="6" w:space="0" w:color="auto"/>
              <w:left w:val="nil"/>
              <w:bottom w:val="single" w:sz="6" w:space="0" w:color="auto"/>
              <w:right w:val="single" w:sz="6" w:space="0" w:color="auto"/>
            </w:tcBorders>
            <w:hideMark/>
          </w:tcPr>
          <w:p w14:paraId="5CC59183"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Ilość </w:t>
            </w:r>
          </w:p>
        </w:tc>
      </w:tr>
      <w:tr w:rsidR="00F41EE0" w:rsidRPr="003703BB" w14:paraId="11C5CCE8" w14:textId="77777777" w:rsidTr="00B107E4">
        <w:trPr>
          <w:trHeight w:val="300"/>
        </w:trPr>
        <w:tc>
          <w:tcPr>
            <w:tcW w:w="3675" w:type="dxa"/>
            <w:tcBorders>
              <w:top w:val="nil"/>
              <w:left w:val="single" w:sz="6" w:space="0" w:color="auto"/>
              <w:bottom w:val="single" w:sz="6" w:space="0" w:color="auto"/>
              <w:right w:val="single" w:sz="6" w:space="0" w:color="auto"/>
            </w:tcBorders>
            <w:vAlign w:val="center"/>
            <w:hideMark/>
          </w:tcPr>
          <w:p w14:paraId="2DEFAC40" w14:textId="0F8DDE22" w:rsidR="00F41EE0" w:rsidRPr="003703BB" w:rsidRDefault="00946F6F" w:rsidP="00B107E4">
            <w:pPr>
              <w:spacing w:after="0" w:line="240" w:lineRule="auto"/>
              <w:textAlignment w:val="baseline"/>
              <w:rPr>
                <w:rFonts w:eastAsia="Times New Roman" w:cstheme="minorHAnsi"/>
                <w:sz w:val="18"/>
                <w:szCs w:val="18"/>
                <w:lang w:val="en-US" w:eastAsia="pl-PL"/>
              </w:rPr>
            </w:pPr>
            <w:r w:rsidRPr="00946F6F">
              <w:rPr>
                <w:rFonts w:eastAsia="Times New Roman" w:cstheme="minorHAnsi"/>
                <w:sz w:val="18"/>
                <w:szCs w:val="18"/>
                <w:lang w:val="en-US" w:eastAsia="pl-PL"/>
              </w:rPr>
              <w:t>Red Hat Enterprise Linux for Virtual Datacenters with Satellite, Standard</w:t>
            </w:r>
          </w:p>
        </w:tc>
        <w:tc>
          <w:tcPr>
            <w:tcW w:w="1470" w:type="dxa"/>
            <w:tcBorders>
              <w:top w:val="nil"/>
              <w:left w:val="nil"/>
              <w:bottom w:val="single" w:sz="6" w:space="0" w:color="auto"/>
              <w:right w:val="single" w:sz="6" w:space="0" w:color="auto"/>
            </w:tcBorders>
            <w:vAlign w:val="center"/>
            <w:hideMark/>
          </w:tcPr>
          <w:p w14:paraId="5EAFDE40"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2265" w:type="dxa"/>
            <w:tcBorders>
              <w:top w:val="nil"/>
              <w:left w:val="nil"/>
              <w:bottom w:val="single" w:sz="6" w:space="0" w:color="auto"/>
              <w:right w:val="single" w:sz="6" w:space="0" w:color="auto"/>
            </w:tcBorders>
            <w:vAlign w:val="center"/>
            <w:hideMark/>
          </w:tcPr>
          <w:p w14:paraId="1BEE36A3" w14:textId="508F6863" w:rsidR="00F41EE0" w:rsidRPr="003703BB" w:rsidRDefault="00F41EE0" w:rsidP="00B107E4">
            <w:pPr>
              <w:spacing w:after="0" w:line="240" w:lineRule="auto"/>
              <w:jc w:val="center"/>
              <w:textAlignment w:val="baseline"/>
              <w:rPr>
                <w:rFonts w:eastAsia="Times New Roman" w:cstheme="minorHAnsi"/>
                <w:sz w:val="18"/>
                <w:szCs w:val="18"/>
                <w:lang w:eastAsia="pl-PL"/>
              </w:rPr>
            </w:pPr>
            <w:r w:rsidRPr="00B107E4">
              <w:rPr>
                <w:rFonts w:eastAsia="Times New Roman" w:cstheme="minorHAnsi"/>
                <w:sz w:val="18"/>
                <w:szCs w:val="18"/>
                <w:lang w:val="en-US" w:eastAsia="pl-PL"/>
              </w:rPr>
              <w:t>SKU:</w:t>
            </w:r>
            <w:r w:rsidR="00D01007">
              <w:t xml:space="preserve"> </w:t>
            </w:r>
            <w:r w:rsidR="00D01007" w:rsidRPr="00D01007">
              <w:rPr>
                <w:rFonts w:eastAsia="Times New Roman" w:cstheme="minorHAnsi"/>
                <w:sz w:val="18"/>
                <w:szCs w:val="18"/>
                <w:lang w:val="en-US" w:eastAsia="pl-PL"/>
              </w:rPr>
              <w:t>RH00007F3</w:t>
            </w:r>
          </w:p>
        </w:tc>
        <w:tc>
          <w:tcPr>
            <w:tcW w:w="1560" w:type="dxa"/>
            <w:tcBorders>
              <w:top w:val="nil"/>
              <w:left w:val="nil"/>
              <w:bottom w:val="single" w:sz="6" w:space="0" w:color="auto"/>
              <w:right w:val="single" w:sz="6" w:space="0" w:color="auto"/>
            </w:tcBorders>
            <w:vAlign w:val="center"/>
            <w:hideMark/>
          </w:tcPr>
          <w:p w14:paraId="1CB2C895" w14:textId="77777777" w:rsidR="00F41EE0" w:rsidRPr="003703BB" w:rsidRDefault="00F41EE0" w:rsidP="00B107E4">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8</w:t>
            </w:r>
          </w:p>
        </w:tc>
      </w:tr>
    </w:tbl>
    <w:p w14:paraId="09C15F66" w14:textId="7590DC5F" w:rsidR="00F41EE0" w:rsidRDefault="00F41EE0" w:rsidP="00F41EE0">
      <w:pPr>
        <w:pStyle w:val="paragraph"/>
        <w:spacing w:before="0" w:beforeAutospacing="0" w:after="0" w:afterAutospacing="0"/>
        <w:textAlignment w:val="baseline"/>
        <w:rPr>
          <w:b/>
          <w:bCs/>
        </w:rPr>
      </w:pPr>
    </w:p>
    <w:p w14:paraId="516324E4" w14:textId="5F8D04D5" w:rsidR="00B7288B" w:rsidRDefault="00B7288B" w:rsidP="00F41EE0">
      <w:pPr>
        <w:pStyle w:val="paragraph"/>
        <w:spacing w:before="0" w:beforeAutospacing="0" w:after="0" w:afterAutospacing="0"/>
        <w:textAlignment w:val="baseline"/>
        <w:rPr>
          <w:b/>
          <w:bCs/>
        </w:rPr>
      </w:pPr>
    </w:p>
    <w:p w14:paraId="3F33BAE5" w14:textId="0FAAF264" w:rsidR="003D30DE" w:rsidRPr="00270B1C" w:rsidRDefault="003D30DE" w:rsidP="003D30DE">
      <w:pPr>
        <w:pStyle w:val="paragraph"/>
        <w:spacing w:before="0" w:beforeAutospacing="0" w:after="0" w:afterAutospacing="0"/>
        <w:textAlignment w:val="baseline"/>
        <w:rPr>
          <w:rStyle w:val="normaltextrun"/>
          <w:rFonts w:asciiTheme="minorHAnsi" w:eastAsiaTheme="majorEastAsia" w:hAnsiTheme="minorHAnsi"/>
          <w:sz w:val="22"/>
          <w:szCs w:val="22"/>
        </w:rPr>
      </w:pPr>
      <w:r w:rsidRPr="00270B1C">
        <w:rPr>
          <w:rStyle w:val="normaltextrun"/>
          <w:rFonts w:asciiTheme="minorHAnsi" w:eastAsiaTheme="majorEastAsia" w:hAnsiTheme="minorHAnsi"/>
          <w:sz w:val="22"/>
          <w:szCs w:val="22"/>
        </w:rPr>
        <w:t>Zamawiający dopuszcza rozwiązanie równoważne które posiada i realizuje następujące parametry  i funkcjonalności: </w:t>
      </w:r>
    </w:p>
    <w:p w14:paraId="3FFF455B" w14:textId="3F149611" w:rsidR="00B7288B" w:rsidRDefault="00B7288B" w:rsidP="00F41EE0">
      <w:pPr>
        <w:pStyle w:val="paragraph"/>
        <w:spacing w:before="0" w:beforeAutospacing="0" w:after="0" w:afterAutospacing="0"/>
        <w:textAlignment w:val="baseline"/>
        <w:rPr>
          <w:b/>
          <w:bCs/>
        </w:rPr>
      </w:pPr>
    </w:p>
    <w:p w14:paraId="34170D6A" w14:textId="77777777" w:rsidR="006461B7" w:rsidRDefault="006461B7" w:rsidP="006461B7">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6461B7">
        <w:rPr>
          <w:rFonts w:eastAsia="Times New Roman" w:cstheme="minorHAnsi"/>
          <w:color w:val="242424"/>
          <w:sz w:val="21"/>
          <w:szCs w:val="21"/>
          <w:lang w:eastAsia="pl-PL"/>
        </w:rPr>
        <w:lastRenderedPageBreak/>
        <w:t>Oprogramowanie musi obsługiwać minimum dwa fizyczne procesory w jednym serwerze. </w:t>
      </w:r>
    </w:p>
    <w:p w14:paraId="7AAF0172" w14:textId="77777777" w:rsidR="00854469" w:rsidRPr="00694282" w:rsidRDefault="00854469" w:rsidP="00854469">
      <w:pPr>
        <w:numPr>
          <w:ilvl w:val="0"/>
          <w:numId w:val="1"/>
        </w:numPr>
        <w:spacing w:before="100" w:beforeAutospacing="1" w:after="100" w:afterAutospacing="1" w:line="240" w:lineRule="auto"/>
        <w:ind w:left="1020"/>
        <w:jc w:val="both"/>
        <w:rPr>
          <w:rFonts w:eastAsia="Times New Roman"/>
          <w:sz w:val="21"/>
          <w:szCs w:val="21"/>
          <w:lang w:eastAsia="pl-PL"/>
        </w:rPr>
      </w:pPr>
      <w:r w:rsidRPr="5EC88930">
        <w:rPr>
          <w:rFonts w:eastAsia="Times New Roman"/>
          <w:sz w:val="21"/>
          <w:szCs w:val="21"/>
          <w:lang w:eastAsia="pl-PL"/>
        </w:rPr>
        <w:t>System operacyjny klasy Enterprise musi być oparty na jądrze Linux, przeznaczony do zastosowań serwerowych w środowiskach korporacyjnych i centrach danych. </w:t>
      </w:r>
    </w:p>
    <w:p w14:paraId="26D77F22" w14:textId="77777777" w:rsidR="00854469" w:rsidRPr="00694282" w:rsidRDefault="00854469" w:rsidP="00854469">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Oprogramowanie musi zawierać w ramach swojego systemu operacyjnego, w wariancie minimalnym, narzędzia umożliwiające uruchomienie następujących usług: </w:t>
      </w:r>
    </w:p>
    <w:p w14:paraId="3434F3A0" w14:textId="77777777" w:rsidR="00854469" w:rsidRPr="00694282" w:rsidRDefault="00854469" w:rsidP="00854469">
      <w:pPr>
        <w:numPr>
          <w:ilvl w:val="1"/>
          <w:numId w:val="8"/>
        </w:numPr>
        <w:spacing w:before="100" w:beforeAutospacing="1" w:after="100" w:afterAutospacing="1" w:line="240" w:lineRule="auto"/>
        <w:ind w:left="2040"/>
        <w:jc w:val="both"/>
        <w:rPr>
          <w:rFonts w:eastAsia="Times New Roman" w:cstheme="minorHAnsi"/>
          <w:color w:val="242424"/>
          <w:sz w:val="21"/>
          <w:szCs w:val="21"/>
          <w:lang w:eastAsia="pl-PL"/>
        </w:rPr>
      </w:pPr>
      <w:r w:rsidRPr="00694282">
        <w:rPr>
          <w:rFonts w:eastAsia="Times New Roman"/>
          <w:sz w:val="21"/>
          <w:szCs w:val="21"/>
          <w:lang w:eastAsia="pl-PL"/>
        </w:rPr>
        <w:t>Serwer WWW </w:t>
      </w:r>
    </w:p>
    <w:p w14:paraId="6E730468" w14:textId="77777777" w:rsidR="00854469" w:rsidRPr="00694282" w:rsidRDefault="00854469" w:rsidP="00854469">
      <w:pPr>
        <w:numPr>
          <w:ilvl w:val="1"/>
          <w:numId w:val="8"/>
        </w:numPr>
        <w:spacing w:before="100" w:beforeAutospacing="1" w:after="100" w:afterAutospacing="1" w:line="240" w:lineRule="auto"/>
        <w:ind w:left="2040"/>
        <w:jc w:val="both"/>
        <w:rPr>
          <w:rFonts w:eastAsia="Times New Roman" w:cstheme="minorHAnsi"/>
          <w:color w:val="242424"/>
          <w:sz w:val="21"/>
          <w:szCs w:val="21"/>
          <w:lang w:eastAsia="pl-PL"/>
        </w:rPr>
      </w:pPr>
      <w:r w:rsidRPr="00694282">
        <w:rPr>
          <w:rFonts w:eastAsia="Times New Roman"/>
          <w:sz w:val="21"/>
          <w:szCs w:val="21"/>
          <w:lang w:eastAsia="pl-PL"/>
        </w:rPr>
        <w:t>Serwer poczty elektronicznej </w:t>
      </w:r>
    </w:p>
    <w:p w14:paraId="4D7D0E54" w14:textId="77777777" w:rsidR="00854469" w:rsidRPr="00694282" w:rsidRDefault="00854469" w:rsidP="00854469">
      <w:pPr>
        <w:numPr>
          <w:ilvl w:val="1"/>
          <w:numId w:val="8"/>
        </w:numPr>
        <w:spacing w:before="100" w:beforeAutospacing="1" w:after="100" w:afterAutospacing="1" w:line="240" w:lineRule="auto"/>
        <w:ind w:left="2040"/>
        <w:jc w:val="both"/>
        <w:rPr>
          <w:rFonts w:eastAsia="Times New Roman" w:cstheme="minorHAnsi"/>
          <w:color w:val="242424"/>
          <w:sz w:val="21"/>
          <w:szCs w:val="21"/>
          <w:lang w:eastAsia="pl-PL"/>
        </w:rPr>
      </w:pPr>
      <w:r w:rsidRPr="00694282">
        <w:rPr>
          <w:rFonts w:eastAsia="Times New Roman"/>
          <w:sz w:val="21"/>
          <w:szCs w:val="21"/>
          <w:lang w:eastAsia="pl-PL"/>
        </w:rPr>
        <w:t>Serwer bazy danych </w:t>
      </w:r>
    </w:p>
    <w:p w14:paraId="519B92CB" w14:textId="77777777" w:rsidR="00854469" w:rsidRPr="00694282" w:rsidRDefault="00854469" w:rsidP="00854469">
      <w:pPr>
        <w:numPr>
          <w:ilvl w:val="1"/>
          <w:numId w:val="8"/>
        </w:numPr>
        <w:spacing w:before="100" w:beforeAutospacing="1" w:after="100" w:afterAutospacing="1" w:line="240" w:lineRule="auto"/>
        <w:ind w:left="2040"/>
        <w:jc w:val="both"/>
        <w:rPr>
          <w:rFonts w:eastAsia="Times New Roman"/>
          <w:color w:val="242424"/>
          <w:sz w:val="21"/>
          <w:szCs w:val="21"/>
          <w:lang w:eastAsia="pl-PL"/>
        </w:rPr>
      </w:pPr>
      <w:r w:rsidRPr="00694282">
        <w:rPr>
          <w:rFonts w:eastAsia="Times New Roman"/>
          <w:sz w:val="21"/>
          <w:szCs w:val="21"/>
          <w:lang w:eastAsia="pl-PL"/>
        </w:rPr>
        <w:t>Serwer cache'ujący obiekty w pamięci ulotnej </w:t>
      </w:r>
    </w:p>
    <w:p w14:paraId="1891BE82" w14:textId="585B4D43" w:rsidR="006461B7" w:rsidRPr="00854469" w:rsidRDefault="00854469" w:rsidP="00854469">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694282">
        <w:rPr>
          <w:rFonts w:eastAsia="Times New Roman"/>
          <w:sz w:val="21"/>
          <w:szCs w:val="21"/>
          <w:lang w:eastAsia="pl-PL"/>
        </w:rPr>
        <w:t>Serwery sieciowych systemów plików NFSv4 i SMB </w:t>
      </w:r>
    </w:p>
    <w:p w14:paraId="1906F741" w14:textId="77777777" w:rsidR="00D0063F" w:rsidRPr="00694282" w:rsidRDefault="00D0063F" w:rsidP="00D0063F">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Zgodność z typowymi wymaganiami bezpieczeństwa (SELinux lub równoważny mechanizm kontroli dostępu), które potrafią wymusić kontrolę dostępu zgodnie z polisą dla takich obiektów jak użytkownicy, pliki, katalogi, porty TCP/UDP, maszyny wirtualne. </w:t>
      </w:r>
    </w:p>
    <w:p w14:paraId="3B484138" w14:textId="77777777" w:rsidR="00D0063F" w:rsidRPr="00694282" w:rsidRDefault="00D0063F" w:rsidP="00D0063F">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System operacyjny musi być dostarczony wraz z zestawem wspieranych przez producenta i aktualizowanych polis bezpieczeństwa. </w:t>
      </w:r>
    </w:p>
    <w:p w14:paraId="12C3704A" w14:textId="77777777" w:rsidR="002033AF" w:rsidRPr="00694282" w:rsidRDefault="002033AF" w:rsidP="002033AF">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System powinien zapewniać tekstowe i graficzne narzędzia umożliwiające analizę alarmów bezpieczeństwa. </w:t>
      </w:r>
    </w:p>
    <w:p w14:paraId="6EF1F457" w14:textId="77777777" w:rsidR="00305587" w:rsidRPr="00694282" w:rsidRDefault="00305587" w:rsidP="0030558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Certyfikat bezpieczeństwa zgodny z EAL4+. </w:t>
      </w:r>
    </w:p>
    <w:p w14:paraId="53378DAA" w14:textId="77777777" w:rsidR="00305587" w:rsidRPr="00694282" w:rsidRDefault="00305587" w:rsidP="0030558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Wbudowana w jądro obsługa wirtualizacji oraz narzędzia tekstowe i graficzne do zarządzania maszynami wirtualnymi. </w:t>
      </w:r>
    </w:p>
    <w:p w14:paraId="15428781" w14:textId="77777777" w:rsidR="00305587" w:rsidRPr="00694282" w:rsidRDefault="00305587" w:rsidP="0030558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uruchomienia nieokreślonej liczby wirtualnych maszyn. </w:t>
      </w:r>
    </w:p>
    <w:p w14:paraId="3455240D" w14:textId="77777777" w:rsidR="00305587" w:rsidRPr="00694282" w:rsidRDefault="00305587" w:rsidP="0030558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Wsparcie dla hypervisorów: KVM, VMware, Hyper-V, ze sterownikami automatycznie ładowanymi przez jądro systemu. </w:t>
      </w:r>
    </w:p>
    <w:p w14:paraId="0199A39C" w14:textId="77777777" w:rsidR="00BE4117" w:rsidRPr="00694282" w:rsidRDefault="00BE4117" w:rsidP="00BE411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Kompatybilność ABI oraz API przez cały okres życia aktualizowanego systemu (dotyczy wersji głównych). </w:t>
      </w:r>
    </w:p>
    <w:p w14:paraId="7E263E55" w14:textId="77777777" w:rsidR="00BE4117" w:rsidRPr="00694282" w:rsidRDefault="00BE4117" w:rsidP="00BE411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Otwarty kod źródłowy dla wszystkich elementów systemu operacyjnego, włącznie z dostarczonym zestawem oprogramowania. </w:t>
      </w:r>
    </w:p>
    <w:p w14:paraId="28428F34" w14:textId="77777777" w:rsidR="00007F22" w:rsidRPr="00694282" w:rsidRDefault="00007F22" w:rsidP="00007F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Instalator umożliwiający utworzenie szyfrowanych partycji przed instalacją systemu operacyjnego. </w:t>
      </w:r>
    </w:p>
    <w:p w14:paraId="1C7C97CF" w14:textId="77777777" w:rsidR="00007F22" w:rsidRPr="00694282" w:rsidRDefault="00007F22" w:rsidP="00007F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Mechanizm grup kontrolnych pozwalający na dynamiczne klasyfikowanie i grupowanie zadań systemowych oraz wymuszenie zarządzania zadaniami przez jądro systemu operacyjnego, w tym mechanizm QoS dla procesów i maszyn wirtualnych. </w:t>
      </w:r>
    </w:p>
    <w:p w14:paraId="72D89279" w14:textId="77777777" w:rsidR="00007F22" w:rsidRPr="00694282" w:rsidRDefault="00007F22" w:rsidP="00007F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Mechanizm wykonywania kopii migawkowych uprzednio przygotowanych przestrzeni blokowych. </w:t>
      </w:r>
    </w:p>
    <w:p w14:paraId="79782796" w14:textId="77777777" w:rsidR="00007F22" w:rsidRPr="00694282" w:rsidRDefault="00007F22" w:rsidP="00007F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wykorzystania jako klient pNFS w układzie plikowym. </w:t>
      </w:r>
    </w:p>
    <w:p w14:paraId="11939A9C" w14:textId="77777777" w:rsidR="00007F22" w:rsidRPr="00694282" w:rsidRDefault="00007F22" w:rsidP="00007F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Wsparcie dla systemów plików EXT3, EXT4, XFS, GFS, GFS2. </w:t>
      </w:r>
    </w:p>
    <w:p w14:paraId="5BA2532B" w14:textId="669F028D" w:rsidR="00854469" w:rsidRPr="00007F22" w:rsidRDefault="00007F22" w:rsidP="00007F22">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694282">
        <w:rPr>
          <w:rFonts w:eastAsia="Times New Roman"/>
          <w:sz w:val="21"/>
          <w:szCs w:val="21"/>
          <w:lang w:eastAsia="pl-PL"/>
        </w:rPr>
        <w:t>Wsparcie dla urządzeń blokowych typu Ceph. </w:t>
      </w:r>
    </w:p>
    <w:p w14:paraId="52FBAB60" w14:textId="77777777" w:rsidR="00BA2022" w:rsidRPr="00BB3325" w:rsidRDefault="00BA2022" w:rsidP="00BA2022">
      <w:pPr>
        <w:numPr>
          <w:ilvl w:val="0"/>
          <w:numId w:val="1"/>
        </w:numPr>
        <w:spacing w:before="100" w:beforeAutospacing="1" w:after="100" w:afterAutospacing="1" w:line="240" w:lineRule="auto"/>
        <w:ind w:left="1020"/>
        <w:jc w:val="both"/>
        <w:rPr>
          <w:rFonts w:eastAsia="Times New Roman"/>
          <w:sz w:val="21"/>
          <w:szCs w:val="21"/>
          <w:lang w:val="en-US" w:eastAsia="pl-PL"/>
        </w:rPr>
      </w:pPr>
      <w:r w:rsidRPr="00BB3325">
        <w:rPr>
          <w:rFonts w:eastAsia="Times New Roman"/>
          <w:sz w:val="21"/>
          <w:szCs w:val="21"/>
          <w:lang w:val="en-US" w:eastAsia="pl-PL"/>
        </w:rPr>
        <w:t>Certyfikacja producenta do instalacji serwera aplikacyjnego JBoss Enterprise Application Platform, Red Hat OpenShift, Red Hat build of Keycloak oraz Red Hat AMQ. </w:t>
      </w:r>
    </w:p>
    <w:p w14:paraId="1BEA721F" w14:textId="77777777" w:rsidR="00BA2022" w:rsidRPr="00BB3325" w:rsidRDefault="00BA2022" w:rsidP="00BA2022">
      <w:pPr>
        <w:numPr>
          <w:ilvl w:val="0"/>
          <w:numId w:val="1"/>
        </w:numPr>
        <w:spacing w:before="100" w:beforeAutospacing="1" w:after="100" w:afterAutospacing="1" w:line="240" w:lineRule="auto"/>
        <w:ind w:left="1020"/>
        <w:jc w:val="both"/>
        <w:rPr>
          <w:rFonts w:eastAsia="Times New Roman"/>
          <w:sz w:val="21"/>
          <w:szCs w:val="21"/>
          <w:lang w:val="en-US" w:eastAsia="pl-PL"/>
        </w:rPr>
      </w:pPr>
      <w:r w:rsidRPr="00BB3325">
        <w:rPr>
          <w:rFonts w:eastAsia="Times New Roman"/>
          <w:sz w:val="21"/>
          <w:szCs w:val="21"/>
          <w:lang w:val="en-US" w:eastAsia="pl-PL"/>
        </w:rPr>
        <w:t>Certyfikacja serwerów Dell PowerEdge R6525, XFUSION 2288H V6. </w:t>
      </w:r>
    </w:p>
    <w:p w14:paraId="0C28C67D" w14:textId="77777777" w:rsidR="00BA2022" w:rsidRPr="00694282" w:rsidRDefault="00BA2022" w:rsidP="00BA20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Kompatybilność z oprogramowaniem do wirtualizacji Vmware ESXIi 8.0 i wyższych. </w:t>
      </w:r>
    </w:p>
    <w:p w14:paraId="135357DE" w14:textId="77777777" w:rsidR="00BA2022" w:rsidRPr="00694282" w:rsidRDefault="00BA2022" w:rsidP="00BA20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Certyfikacja oprogramowania bazodanowego: Oracle Database v18c i wyższe, PostgreSQL v13 i wyższe, Microsoft SQL Server v2016 i wyższe, IBM DB2 v11 i wyższe. </w:t>
      </w:r>
    </w:p>
    <w:p w14:paraId="7F5EAACC" w14:textId="77777777" w:rsidR="00BA2022" w:rsidRPr="00694282" w:rsidRDefault="00BA2022" w:rsidP="00BA202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Zgodność z wymaganiami dla środowisk produkcyjnych i wsparcie dla uruchamiania aplikacji takich jak bazy danych, serwery aplikacyjne, systemy ERP itp. </w:t>
      </w:r>
    </w:p>
    <w:p w14:paraId="68708A63"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Polityka licencjonowania umożliwiająca przenoszenie licencji pomiędzy serwerami różnych producentów z zachowaniem wsparcia technicznego i możliwością zmiany wersji oprogramowania na niższą (downgrade). </w:t>
      </w:r>
    </w:p>
    <w:p w14:paraId="4079EBBB"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Wsparcie bezpośrednio przez producenta oprogramowania na poziomie L1, L2 i L3, bez rozwiązań OEM. </w:t>
      </w:r>
    </w:p>
    <w:p w14:paraId="205530C3"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lastRenderedPageBreak/>
        <w:t>Subskrypcja umożliwiająca uruchomienie nieograniczonej liczby wirtualnych maszyn na serwerze fizycznym z dwoma gniazdami. </w:t>
      </w:r>
    </w:p>
    <w:p w14:paraId="7F3C7BC8"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Zapewniony dostęp do: </w:t>
      </w:r>
    </w:p>
    <w:p w14:paraId="4E65AAC8"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aktualizacji bezpieczeństwa i poprawek przez okres trwania subskrypcji, </w:t>
      </w:r>
    </w:p>
    <w:p w14:paraId="2D558FB4"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wsparcia technicznego producenta lub autoryzowanego partnera (z dostępem do dokumentacji, aktualizacji, baz wiedzy), </w:t>
      </w:r>
    </w:p>
    <w:p w14:paraId="4676A616" w14:textId="77777777" w:rsidR="00C75D62" w:rsidRPr="00694282" w:rsidRDefault="00C75D62" w:rsidP="00C75D62">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repozytoriów pakietów z certyfikowanymi wersjami oprogramowania. </w:t>
      </w:r>
    </w:p>
    <w:p w14:paraId="39220472"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zarządzania systemem w sposób scentralizowany przez system Red Hat Satellite/Insights lub równoważny. Narzędzie do zbiorczego monitorowania zarządzania systemami lokalnie lub w chmurze. </w:t>
      </w:r>
    </w:p>
    <w:p w14:paraId="691153F7"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Narzędzie do aktualizowania środowisk. </w:t>
      </w:r>
    </w:p>
    <w:p w14:paraId="58CF20AB"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kontroli i zarządzania wersjami repozytoriów. </w:t>
      </w:r>
    </w:p>
    <w:p w14:paraId="1D251637" w14:textId="77777777" w:rsidR="00A35777"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Narzędzia do zarządzania bezpieczeństwem. </w:t>
      </w:r>
    </w:p>
    <w:p w14:paraId="32D20A82"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zarządzania treścią, wprowadzanie poprawek, udostępnianie i zarządzanie subskrypcjami. </w:t>
      </w:r>
    </w:p>
    <w:p w14:paraId="3EE9DE7D"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Dostęp do usług zarządzania luk bezpieczeństwa, zgodności i porównywania systemów. </w:t>
      </w:r>
    </w:p>
    <w:p w14:paraId="2D094345" w14:textId="77777777" w:rsidR="00A35777" w:rsidRPr="00694282" w:rsidRDefault="00A35777" w:rsidP="00A35777">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Możliwość zarejestrowania w portalu RedHat Insights. </w:t>
      </w:r>
    </w:p>
    <w:p w14:paraId="552A59B2" w14:textId="411ED683" w:rsidR="00007F22" w:rsidRPr="00A770C4" w:rsidRDefault="00A35777" w:rsidP="00A770C4">
      <w:pPr>
        <w:numPr>
          <w:ilvl w:val="0"/>
          <w:numId w:val="1"/>
        </w:numPr>
        <w:spacing w:before="100" w:beforeAutospacing="1" w:after="100" w:afterAutospacing="1" w:line="240" w:lineRule="auto"/>
        <w:ind w:left="1020"/>
        <w:jc w:val="both"/>
        <w:rPr>
          <w:rFonts w:eastAsia="Times New Roman"/>
          <w:sz w:val="21"/>
          <w:szCs w:val="21"/>
          <w:lang w:eastAsia="pl-PL"/>
        </w:rPr>
      </w:pPr>
      <w:r w:rsidRPr="00694282">
        <w:rPr>
          <w:rFonts w:eastAsia="Times New Roman"/>
          <w:sz w:val="21"/>
          <w:szCs w:val="21"/>
          <w:lang w:eastAsia="pl-PL"/>
        </w:rPr>
        <w:t>Obsługa narzędzi automatyzacji (np. Ansible lub kompatybilny odpowiednik). </w:t>
      </w:r>
    </w:p>
    <w:p w14:paraId="13CDD422" w14:textId="5A4FDA8A" w:rsidR="00B7288B" w:rsidRDefault="00B7288B" w:rsidP="00F41EE0">
      <w:pPr>
        <w:pStyle w:val="paragraph"/>
        <w:spacing w:before="0" w:beforeAutospacing="0" w:after="0" w:afterAutospacing="0"/>
        <w:textAlignment w:val="baseline"/>
        <w:rPr>
          <w:b/>
          <w:bCs/>
        </w:rPr>
      </w:pPr>
    </w:p>
    <w:p w14:paraId="447FD732" w14:textId="77777777" w:rsidR="00B7288B" w:rsidRDefault="00B7288B" w:rsidP="00F41EE0">
      <w:pPr>
        <w:pStyle w:val="paragraph"/>
        <w:spacing w:before="0" w:beforeAutospacing="0" w:after="0" w:afterAutospacing="0"/>
        <w:textAlignment w:val="baseline"/>
        <w:rPr>
          <w:b/>
          <w:bCs/>
        </w:rPr>
      </w:pPr>
    </w:p>
    <w:p w14:paraId="321008B8" w14:textId="2C2B4D91" w:rsidR="00F41EE0" w:rsidRDefault="00F41EE0" w:rsidP="00F41EE0">
      <w:pPr>
        <w:pStyle w:val="paragraph"/>
        <w:spacing w:before="0" w:beforeAutospacing="0" w:after="0" w:afterAutospacing="0"/>
        <w:textAlignment w:val="baseline"/>
        <w:rPr>
          <w:b/>
          <w:bCs/>
        </w:rPr>
      </w:pPr>
    </w:p>
    <w:p w14:paraId="67BE0A5B" w14:textId="32B24DBF" w:rsidR="00F41EE0" w:rsidRPr="00B7288B" w:rsidRDefault="00B7288B" w:rsidP="00F41EE0">
      <w:pPr>
        <w:pStyle w:val="paragraph"/>
        <w:numPr>
          <w:ilvl w:val="0"/>
          <w:numId w:val="2"/>
        </w:numPr>
        <w:spacing w:before="0" w:beforeAutospacing="0" w:after="0" w:afterAutospacing="0"/>
        <w:textAlignment w:val="baseline"/>
        <w:rPr>
          <w:rStyle w:val="normaltextrun"/>
          <w:rFonts w:eastAsiaTheme="majorEastAsia" w:cstheme="minorBidi"/>
          <w:b/>
          <w:bCs/>
          <w:sz w:val="22"/>
          <w:szCs w:val="22"/>
        </w:rPr>
      </w:pPr>
      <w:bookmarkStart w:id="0" w:name="_Hlk213140058"/>
      <w:r>
        <w:rPr>
          <w:rStyle w:val="normaltextrun"/>
          <w:rFonts w:eastAsiaTheme="majorEastAsia" w:cstheme="minorBidi"/>
          <w:b/>
          <w:bCs/>
          <w:sz w:val="22"/>
          <w:szCs w:val="22"/>
        </w:rPr>
        <w:t>d</w:t>
      </w:r>
      <w:r w:rsidR="00F41EE0" w:rsidRPr="00F41EE0">
        <w:rPr>
          <w:rStyle w:val="normaltextrun"/>
          <w:rFonts w:eastAsiaTheme="majorEastAsia" w:cstheme="minorBidi"/>
          <w:b/>
          <w:bCs/>
          <w:sz w:val="22"/>
          <w:szCs w:val="22"/>
        </w:rPr>
        <w:t>ostarczenie usługi wsparcia dla poniższych licencji IBM będących w posiadaniu Zamawiającego na okres 36 miesięcy:</w:t>
      </w:r>
    </w:p>
    <w:p w14:paraId="1E09DE79" w14:textId="77777777" w:rsidR="00F41EE0" w:rsidRDefault="00F41EE0" w:rsidP="00F41EE0">
      <w:pPr>
        <w:pStyle w:val="paragraph"/>
        <w:spacing w:before="0" w:beforeAutospacing="0" w:after="0" w:afterAutospacing="0"/>
        <w:textAlignment w:val="baseline"/>
        <w:rPr>
          <w:rStyle w:val="normaltextrun"/>
          <w:rFonts w:eastAsiaTheme="majorEastAsia" w:cstheme="minorBidi"/>
          <w:b/>
          <w:bCs/>
          <w:sz w:val="22"/>
          <w:szCs w:val="22"/>
        </w:rPr>
      </w:pPr>
    </w:p>
    <w:p w14:paraId="1E4339E4" w14:textId="3016EA2C" w:rsidR="00F41EE0" w:rsidRDefault="00F41EE0" w:rsidP="00F41EE0">
      <w:pPr>
        <w:pStyle w:val="paragraph"/>
        <w:spacing w:before="0" w:beforeAutospacing="0" w:after="0" w:afterAutospacing="0"/>
        <w:textAlignment w:val="baseline"/>
        <w:rPr>
          <w:rStyle w:val="normaltextrun"/>
          <w:rFonts w:eastAsiaTheme="majorEastAsia" w:cstheme="minorBidi"/>
          <w:b/>
          <w:bCs/>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1470"/>
        <w:gridCol w:w="1560"/>
      </w:tblGrid>
      <w:tr w:rsidR="00B7288B" w:rsidRPr="003703BB" w14:paraId="66F60394" w14:textId="77777777" w:rsidTr="00FF3240">
        <w:trPr>
          <w:trHeight w:val="300"/>
          <w:jc w:val="center"/>
        </w:trPr>
        <w:tc>
          <w:tcPr>
            <w:tcW w:w="3675" w:type="dxa"/>
            <w:tcBorders>
              <w:top w:val="single" w:sz="6" w:space="0" w:color="auto"/>
              <w:left w:val="single" w:sz="6" w:space="0" w:color="auto"/>
              <w:bottom w:val="single" w:sz="6" w:space="0" w:color="auto"/>
              <w:right w:val="single" w:sz="6" w:space="0" w:color="auto"/>
            </w:tcBorders>
          </w:tcPr>
          <w:p w14:paraId="7A7E0745" w14:textId="6E24768A" w:rsidR="00B7288B" w:rsidRPr="003703BB" w:rsidRDefault="00B7288B" w:rsidP="00B7288B">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Nazwa licencji </w:t>
            </w:r>
          </w:p>
        </w:tc>
        <w:tc>
          <w:tcPr>
            <w:tcW w:w="1470" w:type="dxa"/>
            <w:tcBorders>
              <w:top w:val="single" w:sz="6" w:space="0" w:color="auto"/>
              <w:left w:val="nil"/>
              <w:bottom w:val="single" w:sz="6" w:space="0" w:color="auto"/>
              <w:right w:val="single" w:sz="6" w:space="0" w:color="auto"/>
            </w:tcBorders>
          </w:tcPr>
          <w:p w14:paraId="4FE9E69D" w14:textId="07E48226" w:rsidR="00B7288B" w:rsidRPr="003703BB" w:rsidRDefault="00B7288B" w:rsidP="00B7288B">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Okres </w:t>
            </w:r>
          </w:p>
        </w:tc>
        <w:tc>
          <w:tcPr>
            <w:tcW w:w="1560" w:type="dxa"/>
            <w:tcBorders>
              <w:top w:val="single" w:sz="6" w:space="0" w:color="auto"/>
              <w:left w:val="nil"/>
              <w:bottom w:val="single" w:sz="6" w:space="0" w:color="auto"/>
              <w:right w:val="single" w:sz="6" w:space="0" w:color="auto"/>
            </w:tcBorders>
          </w:tcPr>
          <w:p w14:paraId="5B40FB50" w14:textId="6461A293" w:rsidR="00B7288B" w:rsidRPr="003703BB" w:rsidRDefault="00B7288B" w:rsidP="00B7288B">
            <w:pPr>
              <w:spacing w:after="0" w:line="240" w:lineRule="auto"/>
              <w:jc w:val="center"/>
              <w:textAlignment w:val="baseline"/>
              <w:rPr>
                <w:rFonts w:eastAsia="Times New Roman" w:cstheme="minorHAnsi"/>
                <w:sz w:val="18"/>
                <w:szCs w:val="18"/>
                <w:lang w:eastAsia="pl-PL"/>
              </w:rPr>
            </w:pPr>
            <w:r w:rsidRPr="003703BB">
              <w:rPr>
                <w:rFonts w:eastAsia="Times New Roman" w:cstheme="minorHAnsi"/>
                <w:sz w:val="18"/>
                <w:szCs w:val="18"/>
                <w:lang w:eastAsia="pl-PL"/>
              </w:rPr>
              <w:t>Ilość </w:t>
            </w:r>
          </w:p>
        </w:tc>
      </w:tr>
      <w:tr w:rsidR="00B7288B" w:rsidRPr="003703BB" w14:paraId="3674FCDA" w14:textId="77777777" w:rsidTr="00CA35D6">
        <w:trPr>
          <w:trHeight w:val="300"/>
          <w:jc w:val="center"/>
        </w:trPr>
        <w:tc>
          <w:tcPr>
            <w:tcW w:w="3675" w:type="dxa"/>
            <w:tcBorders>
              <w:top w:val="single" w:sz="6" w:space="0" w:color="auto"/>
              <w:left w:val="single" w:sz="6" w:space="0" w:color="auto"/>
              <w:bottom w:val="single" w:sz="6" w:space="0" w:color="auto"/>
              <w:right w:val="single" w:sz="6" w:space="0" w:color="auto"/>
            </w:tcBorders>
          </w:tcPr>
          <w:p w14:paraId="469D5DE2" w14:textId="77777777" w:rsidR="00B7288B" w:rsidRDefault="00B7288B" w:rsidP="00B7288B">
            <w:pPr>
              <w:spacing w:after="0" w:line="240" w:lineRule="auto"/>
              <w:textAlignment w:val="baseline"/>
              <w:rPr>
                <w:rFonts w:eastAsia="Times New Roman" w:cstheme="minorHAnsi"/>
                <w:sz w:val="18"/>
                <w:szCs w:val="18"/>
                <w:lang w:val="en-US" w:eastAsia="pl-PL"/>
              </w:rPr>
            </w:pPr>
            <w:r>
              <w:rPr>
                <w:rFonts w:eastAsia="Times New Roman" w:cstheme="minorHAnsi"/>
                <w:sz w:val="18"/>
                <w:szCs w:val="18"/>
                <w:lang w:val="en-US" w:eastAsia="pl-PL"/>
              </w:rPr>
              <w:t>I</w:t>
            </w:r>
            <w:r w:rsidRPr="00F41EE0">
              <w:rPr>
                <w:rFonts w:eastAsia="Times New Roman" w:cstheme="minorHAnsi"/>
                <w:sz w:val="18"/>
                <w:szCs w:val="18"/>
                <w:lang w:val="en-US" w:eastAsia="pl-PL"/>
              </w:rPr>
              <w:t>BM Cloud Pak for Integration Virtual Processor Core License</w:t>
            </w:r>
          </w:p>
          <w:p w14:paraId="06F4249A" w14:textId="441D9029" w:rsidR="00B7288B" w:rsidRPr="003703BB" w:rsidRDefault="00B7288B" w:rsidP="00B7288B">
            <w:pPr>
              <w:spacing w:after="0" w:line="240" w:lineRule="auto"/>
              <w:textAlignment w:val="baseline"/>
              <w:rPr>
                <w:rFonts w:eastAsia="Times New Roman" w:cstheme="minorHAnsi"/>
                <w:sz w:val="18"/>
                <w:szCs w:val="18"/>
                <w:lang w:val="en-US" w:eastAsia="pl-PL"/>
              </w:rPr>
            </w:pPr>
          </w:p>
        </w:tc>
        <w:tc>
          <w:tcPr>
            <w:tcW w:w="1470" w:type="dxa"/>
            <w:tcBorders>
              <w:top w:val="single" w:sz="6" w:space="0" w:color="auto"/>
              <w:left w:val="nil"/>
              <w:bottom w:val="single" w:sz="6" w:space="0" w:color="auto"/>
              <w:right w:val="single" w:sz="6" w:space="0" w:color="auto"/>
            </w:tcBorders>
            <w:vAlign w:val="center"/>
          </w:tcPr>
          <w:p w14:paraId="5F2CE7A2" w14:textId="168169A5" w:rsidR="00B7288B" w:rsidRPr="003703B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1560" w:type="dxa"/>
            <w:tcBorders>
              <w:top w:val="single" w:sz="6" w:space="0" w:color="auto"/>
              <w:left w:val="nil"/>
              <w:bottom w:val="single" w:sz="6" w:space="0" w:color="auto"/>
              <w:right w:val="single" w:sz="6" w:space="0" w:color="auto"/>
            </w:tcBorders>
            <w:vAlign w:val="center"/>
          </w:tcPr>
          <w:p w14:paraId="58BF1AD3" w14:textId="7DBE93D6" w:rsidR="00B7288B" w:rsidRPr="003703B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30 VCPU</w:t>
            </w:r>
          </w:p>
        </w:tc>
      </w:tr>
      <w:tr w:rsidR="00B7288B" w:rsidRPr="003703BB" w14:paraId="08ADDEF9" w14:textId="77777777" w:rsidTr="00FF3240">
        <w:trPr>
          <w:trHeight w:val="300"/>
          <w:jc w:val="center"/>
        </w:trPr>
        <w:tc>
          <w:tcPr>
            <w:tcW w:w="3675" w:type="dxa"/>
            <w:tcBorders>
              <w:top w:val="single" w:sz="6" w:space="0" w:color="auto"/>
              <w:left w:val="single" w:sz="6" w:space="0" w:color="auto"/>
              <w:bottom w:val="single" w:sz="6" w:space="0" w:color="auto"/>
              <w:right w:val="single" w:sz="6" w:space="0" w:color="auto"/>
            </w:tcBorders>
            <w:vAlign w:val="center"/>
          </w:tcPr>
          <w:p w14:paraId="6C04D526" w14:textId="790F63A3" w:rsidR="00B7288B" w:rsidRPr="00F41EE0" w:rsidRDefault="00B7288B" w:rsidP="00B7288B">
            <w:pPr>
              <w:spacing w:after="0" w:line="240" w:lineRule="auto"/>
              <w:textAlignment w:val="baseline"/>
              <w:rPr>
                <w:rFonts w:eastAsia="Times New Roman" w:cstheme="minorHAnsi"/>
                <w:sz w:val="18"/>
                <w:szCs w:val="18"/>
                <w:lang w:val="en-US" w:eastAsia="pl-PL"/>
              </w:rPr>
            </w:pPr>
            <w:r w:rsidRPr="00F41EE0">
              <w:rPr>
                <w:rFonts w:eastAsia="Times New Roman" w:cstheme="minorHAnsi"/>
                <w:sz w:val="18"/>
                <w:szCs w:val="18"/>
                <w:lang w:val="en-US" w:eastAsia="pl-PL"/>
              </w:rPr>
              <w:t>IBM Db2 Standard Edition Cartridge for IBM Cloud Pak for Data Virtual Processor Core License</w:t>
            </w:r>
          </w:p>
        </w:tc>
        <w:tc>
          <w:tcPr>
            <w:tcW w:w="1470" w:type="dxa"/>
            <w:tcBorders>
              <w:top w:val="single" w:sz="6" w:space="0" w:color="auto"/>
              <w:left w:val="nil"/>
              <w:bottom w:val="single" w:sz="6" w:space="0" w:color="auto"/>
              <w:right w:val="single" w:sz="6" w:space="0" w:color="auto"/>
            </w:tcBorders>
            <w:vAlign w:val="center"/>
          </w:tcPr>
          <w:p w14:paraId="10720DC4" w14:textId="1F269482" w:rsidR="00B7288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1560" w:type="dxa"/>
            <w:tcBorders>
              <w:top w:val="single" w:sz="6" w:space="0" w:color="auto"/>
              <w:left w:val="nil"/>
              <w:bottom w:val="single" w:sz="6" w:space="0" w:color="auto"/>
              <w:right w:val="single" w:sz="6" w:space="0" w:color="auto"/>
            </w:tcBorders>
            <w:vAlign w:val="center"/>
          </w:tcPr>
          <w:p w14:paraId="0286CE88" w14:textId="2BC250BD" w:rsidR="00B7288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69 VCPU</w:t>
            </w:r>
          </w:p>
        </w:tc>
      </w:tr>
      <w:tr w:rsidR="00B7288B" w:rsidRPr="003703BB" w14:paraId="3DFB47F8" w14:textId="77777777" w:rsidTr="00FF3240">
        <w:trPr>
          <w:trHeight w:val="300"/>
          <w:jc w:val="center"/>
        </w:trPr>
        <w:tc>
          <w:tcPr>
            <w:tcW w:w="3675" w:type="dxa"/>
            <w:tcBorders>
              <w:top w:val="single" w:sz="6" w:space="0" w:color="auto"/>
              <w:left w:val="single" w:sz="6" w:space="0" w:color="auto"/>
              <w:bottom w:val="single" w:sz="6" w:space="0" w:color="auto"/>
              <w:right w:val="single" w:sz="6" w:space="0" w:color="auto"/>
            </w:tcBorders>
            <w:vAlign w:val="center"/>
          </w:tcPr>
          <w:p w14:paraId="1C6AAEF1" w14:textId="5128C3D0" w:rsidR="00B7288B" w:rsidRPr="00F41EE0" w:rsidRDefault="00B7288B" w:rsidP="00B7288B">
            <w:pPr>
              <w:spacing w:after="0" w:line="240" w:lineRule="auto"/>
              <w:textAlignment w:val="baseline"/>
              <w:rPr>
                <w:rFonts w:eastAsia="Times New Roman" w:cstheme="minorHAnsi"/>
                <w:sz w:val="18"/>
                <w:szCs w:val="18"/>
                <w:lang w:val="en-US" w:eastAsia="pl-PL"/>
              </w:rPr>
            </w:pPr>
            <w:r w:rsidRPr="00B7288B">
              <w:rPr>
                <w:rFonts w:eastAsia="Times New Roman" w:cstheme="minorHAnsi"/>
                <w:sz w:val="18"/>
                <w:szCs w:val="18"/>
                <w:lang w:val="en-US" w:eastAsia="pl-PL"/>
              </w:rPr>
              <w:t>IBM WebSphere Hybrid Edition Virtual Processor Core</w:t>
            </w:r>
          </w:p>
        </w:tc>
        <w:tc>
          <w:tcPr>
            <w:tcW w:w="1470" w:type="dxa"/>
            <w:tcBorders>
              <w:top w:val="single" w:sz="6" w:space="0" w:color="auto"/>
              <w:left w:val="nil"/>
              <w:bottom w:val="single" w:sz="6" w:space="0" w:color="auto"/>
              <w:right w:val="single" w:sz="6" w:space="0" w:color="auto"/>
            </w:tcBorders>
            <w:vAlign w:val="center"/>
          </w:tcPr>
          <w:p w14:paraId="43C61244" w14:textId="261C116D" w:rsidR="00B7288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1560" w:type="dxa"/>
            <w:tcBorders>
              <w:top w:val="single" w:sz="6" w:space="0" w:color="auto"/>
              <w:left w:val="nil"/>
              <w:bottom w:val="single" w:sz="6" w:space="0" w:color="auto"/>
              <w:right w:val="single" w:sz="6" w:space="0" w:color="auto"/>
            </w:tcBorders>
            <w:vAlign w:val="center"/>
          </w:tcPr>
          <w:p w14:paraId="20B795D1" w14:textId="6AD58EE7" w:rsidR="00B7288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5 VCPU</w:t>
            </w:r>
          </w:p>
        </w:tc>
      </w:tr>
      <w:tr w:rsidR="00B7288B" w:rsidRPr="003703BB" w14:paraId="6F12466D" w14:textId="77777777" w:rsidTr="00B107E4">
        <w:trPr>
          <w:trHeight w:val="300"/>
          <w:jc w:val="center"/>
        </w:trPr>
        <w:tc>
          <w:tcPr>
            <w:tcW w:w="3675" w:type="dxa"/>
            <w:tcBorders>
              <w:top w:val="single" w:sz="6" w:space="0" w:color="auto"/>
              <w:left w:val="single" w:sz="6" w:space="0" w:color="auto"/>
              <w:bottom w:val="single" w:sz="6" w:space="0" w:color="auto"/>
              <w:right w:val="single" w:sz="6" w:space="0" w:color="auto"/>
            </w:tcBorders>
          </w:tcPr>
          <w:p w14:paraId="6C989444" w14:textId="1C5F032B" w:rsidR="00B7288B" w:rsidRPr="00B7288B" w:rsidRDefault="00B7288B" w:rsidP="00B7288B">
            <w:pPr>
              <w:spacing w:after="0" w:line="240" w:lineRule="auto"/>
              <w:textAlignment w:val="baseline"/>
              <w:rPr>
                <w:rFonts w:eastAsia="Times New Roman" w:cstheme="minorHAnsi"/>
                <w:sz w:val="18"/>
                <w:szCs w:val="18"/>
                <w:lang w:val="en-US" w:eastAsia="pl-PL"/>
              </w:rPr>
            </w:pPr>
            <w:r w:rsidRPr="00B7288B">
              <w:rPr>
                <w:rFonts w:eastAsia="Times New Roman" w:cstheme="minorHAnsi"/>
                <w:sz w:val="18"/>
                <w:szCs w:val="18"/>
                <w:lang w:val="en-US" w:eastAsia="pl-PL"/>
              </w:rPr>
              <w:t>IBM Cloud Pak for Business Automation Virtual Processor</w:t>
            </w:r>
          </w:p>
        </w:tc>
        <w:tc>
          <w:tcPr>
            <w:tcW w:w="1470" w:type="dxa"/>
            <w:tcBorders>
              <w:top w:val="single" w:sz="6" w:space="0" w:color="auto"/>
              <w:left w:val="nil"/>
              <w:bottom w:val="single" w:sz="6" w:space="0" w:color="auto"/>
              <w:right w:val="single" w:sz="6" w:space="0" w:color="auto"/>
            </w:tcBorders>
          </w:tcPr>
          <w:p w14:paraId="347CD85C" w14:textId="1DD5400B" w:rsidR="00B7288B" w:rsidRPr="003703B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36</w:t>
            </w:r>
            <w:r w:rsidRPr="003703BB">
              <w:rPr>
                <w:rFonts w:eastAsia="Times New Roman" w:cstheme="minorHAnsi"/>
                <w:sz w:val="18"/>
                <w:szCs w:val="18"/>
                <w:lang w:eastAsia="pl-PL"/>
              </w:rPr>
              <w:t xml:space="preserve"> miesięcy</w:t>
            </w:r>
          </w:p>
        </w:tc>
        <w:tc>
          <w:tcPr>
            <w:tcW w:w="1560" w:type="dxa"/>
            <w:tcBorders>
              <w:top w:val="single" w:sz="6" w:space="0" w:color="auto"/>
              <w:left w:val="nil"/>
              <w:bottom w:val="single" w:sz="6" w:space="0" w:color="auto"/>
              <w:right w:val="single" w:sz="6" w:space="0" w:color="auto"/>
            </w:tcBorders>
          </w:tcPr>
          <w:p w14:paraId="34850B61" w14:textId="14BD0B89" w:rsidR="00B7288B" w:rsidRPr="003703BB" w:rsidRDefault="00B7288B" w:rsidP="00B7288B">
            <w:pPr>
              <w:spacing w:after="0" w:line="240" w:lineRule="auto"/>
              <w:jc w:val="center"/>
              <w:textAlignment w:val="baseline"/>
              <w:rPr>
                <w:rFonts w:eastAsia="Times New Roman" w:cstheme="minorHAnsi"/>
                <w:sz w:val="18"/>
                <w:szCs w:val="18"/>
                <w:lang w:eastAsia="pl-PL"/>
              </w:rPr>
            </w:pPr>
            <w:r>
              <w:rPr>
                <w:rFonts w:eastAsia="Times New Roman" w:cstheme="minorHAnsi"/>
                <w:sz w:val="18"/>
                <w:szCs w:val="18"/>
                <w:lang w:eastAsia="pl-PL"/>
              </w:rPr>
              <w:t>240 VCPU</w:t>
            </w:r>
          </w:p>
        </w:tc>
      </w:tr>
    </w:tbl>
    <w:p w14:paraId="7A226249" w14:textId="77777777" w:rsidR="00F41EE0" w:rsidRPr="00F41EE0" w:rsidRDefault="00F41EE0" w:rsidP="00F41EE0">
      <w:pPr>
        <w:pStyle w:val="paragraph"/>
        <w:spacing w:before="0" w:beforeAutospacing="0" w:after="0" w:afterAutospacing="0"/>
        <w:textAlignment w:val="baseline"/>
        <w:rPr>
          <w:rStyle w:val="normaltextrun"/>
          <w:rFonts w:eastAsiaTheme="majorEastAsia" w:cstheme="minorBidi"/>
          <w:b/>
          <w:bCs/>
          <w:sz w:val="22"/>
          <w:szCs w:val="22"/>
        </w:rPr>
      </w:pPr>
    </w:p>
    <w:bookmarkEnd w:id="0"/>
    <w:p w14:paraId="7E76EE83" w14:textId="33704842" w:rsidR="00F41EE0" w:rsidRDefault="00F41EE0" w:rsidP="00F41EE0">
      <w:r w:rsidRPr="00EA0141" w:rsidDel="0008496A">
        <w:rPr>
          <w:rFonts w:eastAsia="Times New Roman" w:cstheme="minorHAnsi"/>
          <w:sz w:val="24"/>
          <w:szCs w:val="24"/>
        </w:rPr>
        <w:t xml:space="preserve"> </w:t>
      </w:r>
    </w:p>
    <w:p w14:paraId="33A90AE8" w14:textId="77777777" w:rsidR="00F41EE0" w:rsidRPr="00B7288B" w:rsidRDefault="00F41EE0" w:rsidP="00F41EE0">
      <w:pPr>
        <w:jc w:val="both"/>
        <w:rPr>
          <w:rFonts w:eastAsia="Times New Roman" w:cstheme="minorHAnsi"/>
          <w:b/>
          <w:bCs/>
          <w:color w:val="242424"/>
          <w:sz w:val="21"/>
          <w:szCs w:val="21"/>
          <w:lang w:eastAsia="pl-PL"/>
        </w:rPr>
      </w:pPr>
      <w:r w:rsidRPr="00B7288B">
        <w:rPr>
          <w:rFonts w:eastAsia="Times New Roman" w:cstheme="minorHAnsi"/>
          <w:b/>
          <w:bCs/>
          <w:color w:val="242424"/>
          <w:sz w:val="21"/>
          <w:szCs w:val="21"/>
          <w:lang w:eastAsia="pl-PL"/>
        </w:rPr>
        <w:t xml:space="preserve">w nast. minimalnym zakresie: </w:t>
      </w:r>
    </w:p>
    <w:p w14:paraId="4A0A160D" w14:textId="28A473FC" w:rsidR="00F4493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prawa do bezpłatnego otrzymywania nowych wersji oprogramowania, uaktualnień i „suport packów”</w:t>
      </w:r>
    </w:p>
    <w:p w14:paraId="138F6AB7" w14:textId="4802521A" w:rsidR="00ED587B" w:rsidRPr="00B7288B" w:rsidRDefault="00F41EE0">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F44930">
        <w:rPr>
          <w:rFonts w:eastAsia="Times New Roman" w:cstheme="minorHAnsi"/>
          <w:color w:val="242424"/>
          <w:sz w:val="21"/>
          <w:szCs w:val="21"/>
          <w:lang w:eastAsia="pl-PL"/>
        </w:rPr>
        <w:t>Zdalnej analizy zgłoszonego problemu w godzinach pracy IBM Polska, w tym:</w:t>
      </w:r>
    </w:p>
    <w:p w14:paraId="22226BF6" w14:textId="1C149B32" w:rsidR="00ED587B" w:rsidRPr="00ED587B" w:rsidRDefault="00F41EE0" w:rsidP="00E55E05">
      <w:pPr>
        <w:pStyle w:val="Akapitzlist"/>
        <w:numPr>
          <w:ilvl w:val="1"/>
          <w:numId w:val="1"/>
        </w:numPr>
        <w:spacing w:before="100" w:beforeAutospacing="1" w:after="100" w:afterAutospacing="1" w:line="240" w:lineRule="auto"/>
        <w:rPr>
          <w:rFonts w:eastAsia="Times New Roman" w:cstheme="minorHAnsi"/>
          <w:color w:val="242424"/>
          <w:sz w:val="21"/>
          <w:szCs w:val="21"/>
          <w:lang w:eastAsia="pl-PL"/>
        </w:rPr>
      </w:pPr>
      <w:r w:rsidRPr="00ED587B">
        <w:rPr>
          <w:rFonts w:eastAsia="Times New Roman" w:cstheme="minorHAnsi"/>
          <w:color w:val="242424"/>
          <w:sz w:val="21"/>
          <w:szCs w:val="21"/>
          <w:lang w:eastAsia="pl-PL"/>
        </w:rPr>
        <w:t>asysta przy zdefiniowaniu produktu lub komponentu powodującego usterkę;</w:t>
      </w:r>
    </w:p>
    <w:p w14:paraId="4C14C4E8" w14:textId="77777777" w:rsidR="00F41EE0" w:rsidRPr="00E55E05" w:rsidRDefault="00F41EE0" w:rsidP="00E55E05">
      <w:pPr>
        <w:pStyle w:val="Akapitzlist"/>
        <w:numPr>
          <w:ilvl w:val="1"/>
          <w:numId w:val="1"/>
        </w:numPr>
        <w:spacing w:before="100" w:beforeAutospacing="1" w:after="100" w:afterAutospacing="1" w:line="240" w:lineRule="auto"/>
        <w:rPr>
          <w:rFonts w:eastAsia="Times New Roman" w:cstheme="minorHAnsi"/>
          <w:color w:val="242424"/>
          <w:sz w:val="21"/>
          <w:szCs w:val="21"/>
          <w:lang w:eastAsia="pl-PL"/>
        </w:rPr>
      </w:pPr>
      <w:r w:rsidRPr="00E55E05">
        <w:rPr>
          <w:rFonts w:eastAsia="Times New Roman" w:cstheme="minorHAnsi"/>
          <w:color w:val="242424"/>
          <w:sz w:val="21"/>
          <w:szCs w:val="21"/>
          <w:lang w:eastAsia="pl-PL"/>
        </w:rPr>
        <w:t>zdalna asysta przy rozwiązaniu problemu;</w:t>
      </w:r>
    </w:p>
    <w:p w14:paraId="53D2C72E"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telefonicznego wsparcia dla problemów związanych z kodem produktu;</w:t>
      </w:r>
    </w:p>
    <w:p w14:paraId="583013D0"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Wsparcia dla typowych, krótkich pytań dotyczących problemów instalacyjnych i</w:t>
      </w:r>
    </w:p>
    <w:p w14:paraId="4775062D"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związanych z codziennym użytkowaniem systemu;</w:t>
      </w:r>
    </w:p>
    <w:p w14:paraId="6F7AD099"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wsparcia od poniedziałku do piątku od 9.00 do 17.00 z wykluczeniem świąt ustawowych;</w:t>
      </w:r>
    </w:p>
    <w:p w14:paraId="55A17F22"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wsparcia telefonicznego dla problemów krytycznych (tzw. severity 1) w trybie 24 x 7;</w:t>
      </w:r>
    </w:p>
    <w:p w14:paraId="2F971771"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lastRenderedPageBreak/>
        <w:t>Możliwości zgłaszania problemów telefonicznie lub elektronicznie (poprzez dostęp do</w:t>
      </w:r>
    </w:p>
    <w:p w14:paraId="526B0698"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stron internetowych);</w:t>
      </w:r>
    </w:p>
    <w:p w14:paraId="6EE8C610"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czasu reakcji na problemy, w tym problemy krytyczne zgłoszone elektronicznie lub telefonicznie, w godzinach od 9.00 do 17.00 wynosi 2 godziny zegarowe;</w:t>
      </w:r>
    </w:p>
    <w:p w14:paraId="730353A3"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dostępu do określonych stron WWW, tzw. opieki elektronicznej (e-care);</w:t>
      </w:r>
    </w:p>
    <w:p w14:paraId="61AC8FEB"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Zapewnienie dowolnej liczby osób ze strony ARiMR odpowiedzialnych za kontakt ze</w:t>
      </w:r>
    </w:p>
    <w:p w14:paraId="341A2661"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wsparciem technicznym;</w:t>
      </w:r>
    </w:p>
    <w:p w14:paraId="6A3F2250"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 xml:space="preserve">W przypadku pojawienia się Aktualizacji Oprogramowania Standardowego wykonanych przez jego producenta, Wykonawca nie później niż w terminie 10 Dni Roboczych od wydania takiej Aktualizacji powinien poinformować Zamawiającego, przedstawiając rekomendację co do implementacji poszczególnych Aktualizacji do SI. </w:t>
      </w:r>
    </w:p>
    <w:p w14:paraId="1314576B" w14:textId="77777777" w:rsidR="00F41EE0" w:rsidRDefault="00F41EE0" w:rsidP="00F41EE0">
      <w:pPr>
        <w:autoSpaceDE w:val="0"/>
        <w:autoSpaceDN w:val="0"/>
        <w:adjustRightInd w:val="0"/>
        <w:spacing w:after="0" w:line="240" w:lineRule="auto"/>
        <w:jc w:val="both"/>
        <w:rPr>
          <w:rFonts w:ascii="Verdana" w:hAnsi="Verdana"/>
          <w:sz w:val="21"/>
          <w:szCs w:val="21"/>
          <w:shd w:val="clear" w:color="auto" w:fill="FFFFFF"/>
        </w:rPr>
      </w:pPr>
    </w:p>
    <w:p w14:paraId="0E6A5D1F" w14:textId="055408F9" w:rsidR="00F41EE0" w:rsidRPr="00B7288B" w:rsidRDefault="00B7288B" w:rsidP="00B7288B">
      <w:pPr>
        <w:jc w:val="both"/>
        <w:rPr>
          <w:rFonts w:eastAsia="Times New Roman" w:cstheme="minorHAnsi"/>
          <w:b/>
          <w:bCs/>
          <w:color w:val="242424"/>
          <w:sz w:val="21"/>
          <w:szCs w:val="21"/>
          <w:lang w:eastAsia="pl-PL"/>
        </w:rPr>
      </w:pPr>
      <w:r>
        <w:rPr>
          <w:rFonts w:eastAsia="Times New Roman" w:cstheme="minorHAnsi"/>
          <w:b/>
          <w:bCs/>
          <w:color w:val="242424"/>
          <w:sz w:val="21"/>
          <w:szCs w:val="21"/>
          <w:lang w:eastAsia="pl-PL"/>
        </w:rPr>
        <w:t>z</w:t>
      </w:r>
      <w:r w:rsidR="00F41EE0" w:rsidRPr="00B7288B">
        <w:rPr>
          <w:rFonts w:eastAsia="Times New Roman" w:cstheme="minorHAnsi"/>
          <w:b/>
          <w:bCs/>
          <w:color w:val="242424"/>
          <w:sz w:val="21"/>
          <w:szCs w:val="21"/>
          <w:lang w:eastAsia="pl-PL"/>
        </w:rPr>
        <w:t>apewnienie 1000 godz. konsultacji dla Zamawiającego w zakresie:</w:t>
      </w:r>
    </w:p>
    <w:p w14:paraId="2183190C" w14:textId="77777777" w:rsidR="00F41EE0" w:rsidRPr="00B7288B"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 xml:space="preserve">Wsparcia w zakresie bieżących zagadnień i problematyki rozwoju i utrzymania środowiska CSOB wykraczający poza zakres usług ATiK,   </w:t>
      </w:r>
    </w:p>
    <w:p w14:paraId="3D64B056" w14:textId="0C2F40E4" w:rsidR="00F41EE0" w:rsidRDefault="00F41EE0" w:rsidP="00B7288B">
      <w:pPr>
        <w:numPr>
          <w:ilvl w:val="0"/>
          <w:numId w:val="1"/>
        </w:numPr>
        <w:spacing w:before="100" w:beforeAutospacing="1" w:after="100" w:afterAutospacing="1" w:line="240" w:lineRule="auto"/>
        <w:ind w:left="1020"/>
        <w:rPr>
          <w:rFonts w:eastAsia="Times New Roman" w:cstheme="minorHAnsi"/>
          <w:color w:val="242424"/>
          <w:sz w:val="21"/>
          <w:szCs w:val="21"/>
          <w:lang w:eastAsia="pl-PL"/>
        </w:rPr>
      </w:pPr>
      <w:r w:rsidRPr="00B7288B">
        <w:rPr>
          <w:rFonts w:eastAsia="Times New Roman" w:cstheme="minorHAnsi"/>
          <w:color w:val="242424"/>
          <w:sz w:val="21"/>
          <w:szCs w:val="21"/>
          <w:lang w:eastAsia="pl-PL"/>
        </w:rPr>
        <w:t xml:space="preserve">Usługa będzie obejmowała w szczególności  wykonywanie takich czynności, jak: analizy, audyty, jak również wszelkiego rodzaju prace związane z SI tj. konfiguracja, parametryzacja, warsztaty szkoleniowe oraz pomoc przy pracach technicznych przeprowadzanych przez Zamawiającego. Bieżące wsparcie będzie świadczone w języku polskim. </w:t>
      </w:r>
    </w:p>
    <w:p w14:paraId="0BD92F2B" w14:textId="25F32AE9" w:rsidR="00ED587B" w:rsidRDefault="00ED587B" w:rsidP="00ED587B">
      <w:pPr>
        <w:spacing w:before="100" w:beforeAutospacing="1" w:after="100" w:afterAutospacing="1" w:line="240" w:lineRule="auto"/>
        <w:rPr>
          <w:rFonts w:eastAsia="Times New Roman" w:cstheme="minorHAnsi"/>
          <w:color w:val="242424"/>
          <w:sz w:val="21"/>
          <w:szCs w:val="21"/>
          <w:lang w:eastAsia="pl-PL"/>
        </w:rPr>
      </w:pPr>
    </w:p>
    <w:p w14:paraId="7CC1FF83" w14:textId="77777777" w:rsidR="00ED587B" w:rsidRPr="00E55E05" w:rsidRDefault="00ED587B" w:rsidP="00E55E05">
      <w:pPr>
        <w:spacing w:before="100" w:beforeAutospacing="1" w:after="100" w:afterAutospacing="1" w:line="240" w:lineRule="auto"/>
        <w:rPr>
          <w:rFonts w:eastAsia="Times New Roman" w:cstheme="minorHAnsi"/>
          <w:b/>
          <w:bCs/>
          <w:color w:val="242424"/>
          <w:sz w:val="21"/>
          <w:szCs w:val="21"/>
          <w:lang w:eastAsia="pl-PL"/>
        </w:rPr>
      </w:pPr>
    </w:p>
    <w:p w14:paraId="5ACD97F3" w14:textId="50772BBC" w:rsidR="00F41EE0" w:rsidRPr="00E55E05" w:rsidRDefault="00ED587B" w:rsidP="00F41EE0">
      <w:pPr>
        <w:autoSpaceDE w:val="0"/>
        <w:autoSpaceDN w:val="0"/>
        <w:adjustRightInd w:val="0"/>
        <w:spacing w:after="0" w:line="240" w:lineRule="auto"/>
        <w:jc w:val="both"/>
        <w:rPr>
          <w:rFonts w:eastAsia="Times New Roman" w:cstheme="minorHAnsi"/>
          <w:b/>
          <w:bCs/>
          <w:color w:val="242424"/>
          <w:sz w:val="21"/>
          <w:szCs w:val="21"/>
          <w:lang w:eastAsia="pl-PL"/>
        </w:rPr>
      </w:pPr>
      <w:r w:rsidRPr="00E55E05">
        <w:rPr>
          <w:rFonts w:eastAsia="Times New Roman" w:cstheme="minorHAnsi"/>
          <w:b/>
          <w:bCs/>
          <w:color w:val="242424"/>
          <w:sz w:val="21"/>
          <w:szCs w:val="21"/>
          <w:lang w:eastAsia="pl-PL"/>
        </w:rPr>
        <w:t>Dotyczy rozwiązań równoważnych opisanych w niniejszym dokumencie.</w:t>
      </w:r>
    </w:p>
    <w:p w14:paraId="06D5BB65" w14:textId="77777777" w:rsidR="008E6659" w:rsidRPr="00E55E05" w:rsidRDefault="008E6659" w:rsidP="00F41EE0">
      <w:pPr>
        <w:autoSpaceDE w:val="0"/>
        <w:autoSpaceDN w:val="0"/>
        <w:adjustRightInd w:val="0"/>
        <w:spacing w:after="0" w:line="240" w:lineRule="auto"/>
        <w:jc w:val="both"/>
        <w:rPr>
          <w:rFonts w:eastAsia="Times New Roman" w:cstheme="minorHAnsi"/>
          <w:b/>
          <w:bCs/>
          <w:color w:val="242424"/>
          <w:sz w:val="21"/>
          <w:szCs w:val="21"/>
          <w:lang w:eastAsia="pl-PL"/>
        </w:rPr>
      </w:pPr>
    </w:p>
    <w:p w14:paraId="659835E5" w14:textId="77777777" w:rsidR="00ED587B" w:rsidRPr="00E55E05" w:rsidRDefault="00ED587B" w:rsidP="00E55E05">
      <w:pPr>
        <w:autoSpaceDE w:val="0"/>
        <w:autoSpaceDN w:val="0"/>
        <w:adjustRightInd w:val="0"/>
        <w:spacing w:after="0" w:line="240" w:lineRule="auto"/>
        <w:jc w:val="both"/>
        <w:rPr>
          <w:rFonts w:eastAsia="Times New Roman" w:cstheme="minorHAnsi"/>
          <w:b/>
          <w:bCs/>
          <w:color w:val="242424"/>
          <w:sz w:val="21"/>
          <w:szCs w:val="21"/>
          <w:lang w:eastAsia="pl-PL"/>
        </w:rPr>
      </w:pPr>
      <w:r w:rsidRPr="00E55E05">
        <w:rPr>
          <w:rFonts w:eastAsia="Times New Roman" w:cstheme="minorHAnsi"/>
          <w:b/>
          <w:bCs/>
          <w:color w:val="242424"/>
          <w:sz w:val="21"/>
          <w:szCs w:val="21"/>
          <w:lang w:eastAsia="pl-PL"/>
        </w:rPr>
        <w:t>W przypadku zaoferowania przez Wykonawcę rozwiązania równoważnego, Wykonawca:</w:t>
      </w:r>
    </w:p>
    <w:p w14:paraId="1B587566" w14:textId="77777777" w:rsidR="00ED587B" w:rsidRPr="00E55E05" w:rsidRDefault="00ED587B" w:rsidP="00E55E05">
      <w:pPr>
        <w:numPr>
          <w:ilvl w:val="0"/>
          <w:numId w:val="1"/>
        </w:numPr>
        <w:spacing w:before="100" w:beforeAutospacing="1" w:after="100" w:afterAutospacing="1" w:line="240" w:lineRule="auto"/>
        <w:ind w:left="1020"/>
        <w:jc w:val="both"/>
        <w:rPr>
          <w:rFonts w:eastAsia="Times New Roman"/>
          <w:sz w:val="21"/>
          <w:szCs w:val="21"/>
          <w:lang w:eastAsia="pl-PL"/>
        </w:rPr>
      </w:pPr>
      <w:r w:rsidRPr="00E55E05">
        <w:rPr>
          <w:rFonts w:eastAsia="Times New Roman"/>
          <w:sz w:val="21"/>
          <w:szCs w:val="21"/>
          <w:lang w:eastAsia="pl-PL"/>
        </w:rPr>
        <w:t>wraz z ofertą potwierdzi (oświadczenia), że oferowane rozwiązanie równoważne spełnia wymagania określone przez Zamawiającego, w szczególności przedstawiając Zamawiającemu stosowną dokumentację oprogramowania, potwierdzającą spełnienie przez oferowane oprogramowanie wymagań funkcjonalnych i poza funkcjonalnych tożsamych jak w oprogramowaniu wskazanym przez Zamawiającego, postanowienia licencji rozwiązania równoważnego jak postanowienia właściwe dla oprogramowania wskazanego przez Zamawiającego oraz warunki świadczonej przez producenta asysty technicznej i konserwacji,</w:t>
      </w:r>
    </w:p>
    <w:p w14:paraId="144B7B89" w14:textId="46BD42C5" w:rsidR="00F41EE0" w:rsidRPr="00E55E05" w:rsidRDefault="00ED587B" w:rsidP="00E55E05">
      <w:pPr>
        <w:numPr>
          <w:ilvl w:val="0"/>
          <w:numId w:val="1"/>
        </w:numPr>
        <w:spacing w:before="100" w:beforeAutospacing="1" w:after="100" w:afterAutospacing="1" w:line="240" w:lineRule="auto"/>
        <w:ind w:left="1020"/>
        <w:jc w:val="both"/>
        <w:rPr>
          <w:sz w:val="21"/>
          <w:szCs w:val="21"/>
        </w:rPr>
      </w:pPr>
      <w:r w:rsidRPr="00E55E05">
        <w:rPr>
          <w:rFonts w:eastAsia="Times New Roman"/>
          <w:sz w:val="21"/>
          <w:szCs w:val="21"/>
          <w:lang w:eastAsia="pl-PL"/>
        </w:rPr>
        <w:t>jest zobowiązany do wybudowania i konfiguracji wszystkich Środowisk na własny koszt, według wytycznych, które przekaże Zamawiający i pod kontrolą Zamawiającego lub podmiotów upoważnionych przez Zamawiającego-Spółka oraz przeprowadzenia testów</w:t>
      </w:r>
      <w:r w:rsidR="008A6C04" w:rsidRPr="00E55E05">
        <w:rPr>
          <w:rFonts w:eastAsia="Times New Roman"/>
          <w:sz w:val="21"/>
          <w:szCs w:val="21"/>
          <w:lang w:eastAsia="pl-PL"/>
        </w:rPr>
        <w:t xml:space="preserve"> d</w:t>
      </w:r>
      <w:r w:rsidRPr="00E55E05">
        <w:rPr>
          <w:rFonts w:eastAsia="Times New Roman"/>
          <w:sz w:val="21"/>
          <w:szCs w:val="21"/>
          <w:lang w:eastAsia="pl-PL"/>
        </w:rPr>
        <w:t>la wszystkich Środowisk</w:t>
      </w:r>
      <w:r w:rsidR="008A6C04" w:rsidRPr="00E55E05">
        <w:rPr>
          <w:rFonts w:eastAsia="Times New Roman"/>
          <w:sz w:val="21"/>
          <w:szCs w:val="21"/>
          <w:lang w:eastAsia="pl-PL"/>
        </w:rPr>
        <w:t>. Środowisko produkcyjne osadzone jest na dwóch ośrodkach przetwarzania danych CPD i ROPD oraz 4 środowisk pomocniczych (w tym środowisko przedprodukcyjne skonfigurowane na wzór produkcyjnego), które zawierają niezbędne elementy zapewniające ciągłość działania infrastruktury IT wymagane przez wytwarzane oprogramowanie. Skonfigurowanie systemu CI/CD w oparciu o Jenkins, bazy danych, system kontroli wersji, serwery kolejek, usługi katalogowe LDAP, narzędzia ETL, serwery aplikacyjne, konfigurację sieciową gwarantujące poprawne i bezbłędne działanie systemu.</w:t>
      </w:r>
      <w:r w:rsidR="00E55E05">
        <w:rPr>
          <w:rFonts w:eastAsia="Times New Roman"/>
          <w:sz w:val="21"/>
          <w:szCs w:val="21"/>
          <w:lang w:eastAsia="pl-PL"/>
        </w:rPr>
        <w:t xml:space="preserve"> </w:t>
      </w:r>
      <w:r w:rsidR="008A6C04" w:rsidRPr="00E55E05">
        <w:rPr>
          <w:rFonts w:eastAsia="Times New Roman"/>
          <w:sz w:val="21"/>
          <w:szCs w:val="21"/>
          <w:lang w:eastAsia="pl-PL"/>
        </w:rPr>
        <w:t>Dodatkowo dla ułatwienia przeglądania i korelacji logów pochodzących z poszczególnych komponentów SI Wykonawca wykonana ich agregację w systemie ELK ARiMR.</w:t>
      </w:r>
    </w:p>
    <w:sectPr w:rsidR="00F41EE0" w:rsidRPr="00E55E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8DA1" w14:textId="77777777" w:rsidR="008459EC" w:rsidRDefault="008459EC" w:rsidP="00B63EC2">
      <w:pPr>
        <w:spacing w:after="0" w:line="240" w:lineRule="auto"/>
      </w:pPr>
      <w:r>
        <w:separator/>
      </w:r>
    </w:p>
  </w:endnote>
  <w:endnote w:type="continuationSeparator" w:id="0">
    <w:p w14:paraId="2FE868A7" w14:textId="77777777" w:rsidR="008459EC" w:rsidRDefault="008459EC" w:rsidP="00B6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1793" w14:textId="77777777" w:rsidR="008459EC" w:rsidRDefault="008459EC" w:rsidP="00B63EC2">
      <w:pPr>
        <w:spacing w:after="0" w:line="240" w:lineRule="auto"/>
      </w:pPr>
      <w:r>
        <w:separator/>
      </w:r>
    </w:p>
  </w:footnote>
  <w:footnote w:type="continuationSeparator" w:id="0">
    <w:p w14:paraId="545DA3FC" w14:textId="77777777" w:rsidR="008459EC" w:rsidRDefault="008459EC" w:rsidP="00B63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8D8"/>
    <w:multiLevelType w:val="hybridMultilevel"/>
    <w:tmpl w:val="D9F89B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26C27"/>
    <w:multiLevelType w:val="multilevel"/>
    <w:tmpl w:val="2B5812C4"/>
    <w:lvl w:ilvl="0">
      <w:start w:val="1"/>
      <w:numFmt w:val="decimal"/>
      <w:lvlText w:val="%1."/>
      <w:lvlJc w:val="left"/>
      <w:pPr>
        <w:ind w:left="720" w:hanging="360"/>
      </w:pPr>
    </w:lvl>
    <w:lvl w:ilvl="1">
      <w:start w:val="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D22639"/>
    <w:multiLevelType w:val="hybridMultilevel"/>
    <w:tmpl w:val="93FCBE8A"/>
    <w:lvl w:ilvl="0" w:tplc="18782B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6355F9"/>
    <w:multiLevelType w:val="hybridMultilevel"/>
    <w:tmpl w:val="F2C8AACE"/>
    <w:lvl w:ilvl="0" w:tplc="E9C247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3964FC"/>
    <w:multiLevelType w:val="hybridMultilevel"/>
    <w:tmpl w:val="D9F89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250FDD"/>
    <w:multiLevelType w:val="hybridMultilevel"/>
    <w:tmpl w:val="0CCA1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FF6FE0"/>
    <w:multiLevelType w:val="multilevel"/>
    <w:tmpl w:val="6F6A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160A0"/>
    <w:multiLevelType w:val="multilevel"/>
    <w:tmpl w:val="57002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658F2"/>
    <w:multiLevelType w:val="hybridMultilevel"/>
    <w:tmpl w:val="0CCA1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5"/>
  </w:num>
  <w:num w:numId="6">
    <w:abstractNumId w:val="8"/>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C2"/>
    <w:rsid w:val="00007F22"/>
    <w:rsid w:val="00087019"/>
    <w:rsid w:val="0011139C"/>
    <w:rsid w:val="001D4D3B"/>
    <w:rsid w:val="002033AF"/>
    <w:rsid w:val="002673FC"/>
    <w:rsid w:val="00280107"/>
    <w:rsid w:val="00286010"/>
    <w:rsid w:val="002B500C"/>
    <w:rsid w:val="00305587"/>
    <w:rsid w:val="003B6882"/>
    <w:rsid w:val="003D30DE"/>
    <w:rsid w:val="003D436F"/>
    <w:rsid w:val="006461B7"/>
    <w:rsid w:val="00700466"/>
    <w:rsid w:val="007E7C51"/>
    <w:rsid w:val="008200D7"/>
    <w:rsid w:val="008459EC"/>
    <w:rsid w:val="00854469"/>
    <w:rsid w:val="008A6C04"/>
    <w:rsid w:val="008E6659"/>
    <w:rsid w:val="008F350B"/>
    <w:rsid w:val="00946F6F"/>
    <w:rsid w:val="009A5B82"/>
    <w:rsid w:val="00A35777"/>
    <w:rsid w:val="00A770C4"/>
    <w:rsid w:val="00AC16FD"/>
    <w:rsid w:val="00B543EA"/>
    <w:rsid w:val="00B57818"/>
    <w:rsid w:val="00B63EC2"/>
    <w:rsid w:val="00B6445A"/>
    <w:rsid w:val="00B7288B"/>
    <w:rsid w:val="00BA2022"/>
    <w:rsid w:val="00BE4117"/>
    <w:rsid w:val="00C70A93"/>
    <w:rsid w:val="00C75D62"/>
    <w:rsid w:val="00CB16B2"/>
    <w:rsid w:val="00D0063F"/>
    <w:rsid w:val="00D01007"/>
    <w:rsid w:val="00DC3174"/>
    <w:rsid w:val="00E01035"/>
    <w:rsid w:val="00E55E05"/>
    <w:rsid w:val="00ED587B"/>
    <w:rsid w:val="00F41EE0"/>
    <w:rsid w:val="00F44930"/>
    <w:rsid w:val="00F854AA"/>
    <w:rsid w:val="00F973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D2DE"/>
  <w15:chartTrackingRefBased/>
  <w15:docId w15:val="{89B4E5EC-E3CA-48B5-89BB-DD01F04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EC2"/>
    <w:rPr>
      <w:kern w:val="0"/>
      <w14:ligatures w14:val="none"/>
    </w:rPr>
  </w:style>
  <w:style w:type="paragraph" w:styleId="Nagwek1">
    <w:name w:val="heading 1"/>
    <w:basedOn w:val="Normalny"/>
    <w:next w:val="Normalny"/>
    <w:link w:val="Nagwek1Znak"/>
    <w:uiPriority w:val="9"/>
    <w:qFormat/>
    <w:rsid w:val="00B6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6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3E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3E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3E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3E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3E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3E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3E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E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63E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3E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3E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3E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3E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3E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3E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3EC2"/>
    <w:rPr>
      <w:rFonts w:eastAsiaTheme="majorEastAsia" w:cstheme="majorBidi"/>
      <w:color w:val="272727" w:themeColor="text1" w:themeTint="D8"/>
    </w:rPr>
  </w:style>
  <w:style w:type="paragraph" w:styleId="Tytu">
    <w:name w:val="Title"/>
    <w:basedOn w:val="Normalny"/>
    <w:next w:val="Normalny"/>
    <w:link w:val="TytuZnak"/>
    <w:uiPriority w:val="10"/>
    <w:qFormat/>
    <w:rsid w:val="00B6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3E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3E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3E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3EC2"/>
    <w:pPr>
      <w:spacing w:before="160"/>
      <w:jc w:val="center"/>
    </w:pPr>
    <w:rPr>
      <w:i/>
      <w:iCs/>
      <w:color w:val="404040" w:themeColor="text1" w:themeTint="BF"/>
    </w:rPr>
  </w:style>
  <w:style w:type="character" w:customStyle="1" w:styleId="CytatZnak">
    <w:name w:val="Cytat Znak"/>
    <w:basedOn w:val="Domylnaczcionkaakapitu"/>
    <w:link w:val="Cytat"/>
    <w:uiPriority w:val="29"/>
    <w:rsid w:val="00B63EC2"/>
    <w:rPr>
      <w:i/>
      <w:iCs/>
      <w:color w:val="404040" w:themeColor="text1" w:themeTint="BF"/>
    </w:rPr>
  </w:style>
  <w:style w:type="paragraph" w:styleId="Akapitzlist">
    <w:name w:val="List Paragraph"/>
    <w:basedOn w:val="Normalny"/>
    <w:uiPriority w:val="34"/>
    <w:qFormat/>
    <w:rsid w:val="00B63EC2"/>
    <w:pPr>
      <w:ind w:left="720"/>
      <w:contextualSpacing/>
    </w:pPr>
  </w:style>
  <w:style w:type="character" w:styleId="Wyrnienieintensywne">
    <w:name w:val="Intense Emphasis"/>
    <w:basedOn w:val="Domylnaczcionkaakapitu"/>
    <w:uiPriority w:val="21"/>
    <w:qFormat/>
    <w:rsid w:val="00B63EC2"/>
    <w:rPr>
      <w:i/>
      <w:iCs/>
      <w:color w:val="0F4761" w:themeColor="accent1" w:themeShade="BF"/>
    </w:rPr>
  </w:style>
  <w:style w:type="paragraph" w:styleId="Cytatintensywny">
    <w:name w:val="Intense Quote"/>
    <w:basedOn w:val="Normalny"/>
    <w:next w:val="Normalny"/>
    <w:link w:val="CytatintensywnyZnak"/>
    <w:uiPriority w:val="30"/>
    <w:qFormat/>
    <w:rsid w:val="00B6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3EC2"/>
    <w:rPr>
      <w:i/>
      <w:iCs/>
      <w:color w:val="0F4761" w:themeColor="accent1" w:themeShade="BF"/>
    </w:rPr>
  </w:style>
  <w:style w:type="character" w:styleId="Odwoanieintensywne">
    <w:name w:val="Intense Reference"/>
    <w:basedOn w:val="Domylnaczcionkaakapitu"/>
    <w:uiPriority w:val="32"/>
    <w:qFormat/>
    <w:rsid w:val="00B63EC2"/>
    <w:rPr>
      <w:b/>
      <w:bCs/>
      <w:smallCaps/>
      <w:color w:val="0F4761" w:themeColor="accent1" w:themeShade="BF"/>
      <w:spacing w:val="5"/>
    </w:rPr>
  </w:style>
  <w:style w:type="paragraph" w:styleId="Nagwek">
    <w:name w:val="header"/>
    <w:basedOn w:val="Normalny"/>
    <w:link w:val="NagwekZnak"/>
    <w:uiPriority w:val="99"/>
    <w:unhideWhenUsed/>
    <w:rsid w:val="00B63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EC2"/>
  </w:style>
  <w:style w:type="paragraph" w:styleId="Stopka">
    <w:name w:val="footer"/>
    <w:basedOn w:val="Normalny"/>
    <w:link w:val="StopkaZnak"/>
    <w:uiPriority w:val="99"/>
    <w:unhideWhenUsed/>
    <w:rsid w:val="00B63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EC2"/>
  </w:style>
  <w:style w:type="character" w:customStyle="1" w:styleId="normaltextrun">
    <w:name w:val="normaltextrun"/>
    <w:basedOn w:val="Domylnaczcionkaakapitu"/>
    <w:rsid w:val="00B63EC2"/>
  </w:style>
  <w:style w:type="paragraph" w:customStyle="1" w:styleId="paragraph">
    <w:name w:val="paragraph"/>
    <w:basedOn w:val="Normalny"/>
    <w:rsid w:val="00B63E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004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155466DB-56BE-4B5E-B01F-53446DA9F4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4148</Words>
  <Characters>24893</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Ernestowicz Jakub</dc:creator>
  <cp:keywords/>
  <dc:description/>
  <cp:lastModifiedBy>Malinowska Benita</cp:lastModifiedBy>
  <cp:revision>9</cp:revision>
  <dcterms:created xsi:type="dcterms:W3CDTF">2025-11-14T09:17:00Z</dcterms:created>
  <dcterms:modified xsi:type="dcterms:W3CDTF">2025-11-14T11:35:00Z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2f57d68a-7798-403e-83a7-a3f64aac6c34</vt:lpwstr>
  </property>
  <property fmtid="{D5CDD505-2E9C-101B-9397-08002B2CF9AE}" pid="3" name="bjClsUserRVM">
    <vt:lpwstr>[]</vt:lpwstr>
  </property>
  <property fmtid="{D5CDD505-2E9C-101B-9397-08002B2CF9AE}" pid="4" name="bjSaver">
    <vt:lpwstr>tt972vY9p1qE1QDhuVjk6F3iNgE/ERZj</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