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8505"/>
      </w:tblGrid>
      <w:tr w:rsidR="00EB22A9" w:rsidRPr="003A2EF9" w14:paraId="698148C6" w14:textId="77777777" w:rsidTr="005D1419">
        <w:trPr>
          <w:trHeight w:val="717"/>
          <w:jc w:val="center"/>
        </w:trPr>
        <w:tc>
          <w:tcPr>
            <w:tcW w:w="10348" w:type="dxa"/>
            <w:gridSpan w:val="2"/>
          </w:tcPr>
          <w:p w14:paraId="13F12B37" w14:textId="79750395" w:rsidR="00B65BF0" w:rsidRPr="003A2EF9" w:rsidRDefault="00EB22A9" w:rsidP="00914B21">
            <w:pPr>
              <w:pStyle w:val="Nagwek1"/>
              <w:rPr>
                <w:rFonts w:ascii="Arial" w:hAnsi="Arial" w:cs="Arial"/>
                <w:sz w:val="20"/>
                <w:szCs w:val="20"/>
              </w:rPr>
            </w:pPr>
            <w:r w:rsidRPr="003A2EF9">
              <w:rPr>
                <w:rFonts w:ascii="Arial" w:hAnsi="Arial" w:cs="Arial"/>
                <w:sz w:val="20"/>
                <w:szCs w:val="20"/>
              </w:rPr>
              <w:t>Przedmiot zamówienia - wymagania Zamawiającego</w:t>
            </w:r>
          </w:p>
          <w:p w14:paraId="0BF24D04" w14:textId="1D619E0B" w:rsidR="008A245E" w:rsidRPr="003A2EF9" w:rsidRDefault="008A245E" w:rsidP="00914B21">
            <w:pPr>
              <w:spacing w:before="120" w:after="120"/>
              <w:rPr>
                <w:rFonts w:ascii="Arial" w:hAnsi="Arial" w:cs="Arial"/>
                <w:sz w:val="22"/>
                <w:szCs w:val="22"/>
              </w:rPr>
            </w:pPr>
          </w:p>
        </w:tc>
      </w:tr>
      <w:tr w:rsidR="00804E4F" w:rsidRPr="008C40F0" w14:paraId="79A12969" w14:textId="77777777" w:rsidTr="005D1419">
        <w:tblPrEx>
          <w:jc w:val="left"/>
          <w:tblCellMar>
            <w:left w:w="108" w:type="dxa"/>
            <w:right w:w="108" w:type="dxa"/>
          </w:tblCellMar>
          <w:tblLook w:val="04A0" w:firstRow="1" w:lastRow="0" w:firstColumn="1" w:lastColumn="0" w:noHBand="0" w:noVBand="1"/>
        </w:tblPrEx>
        <w:trPr>
          <w:trHeight w:val="346"/>
        </w:trPr>
        <w:tc>
          <w:tcPr>
            <w:tcW w:w="1843" w:type="dxa"/>
            <w:shd w:val="clear" w:color="auto" w:fill="auto"/>
            <w:vAlign w:val="center"/>
          </w:tcPr>
          <w:p w14:paraId="0DA58C65"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Typ</w:t>
            </w:r>
          </w:p>
        </w:tc>
        <w:tc>
          <w:tcPr>
            <w:tcW w:w="8505" w:type="dxa"/>
            <w:shd w:val="clear" w:color="auto" w:fill="auto"/>
            <w:vAlign w:val="center"/>
          </w:tcPr>
          <w:p w14:paraId="2307B46B" w14:textId="77777777" w:rsidR="00804E4F" w:rsidRPr="008C40F0" w:rsidRDefault="00804E4F" w:rsidP="0000142C">
            <w:pPr>
              <w:spacing w:line="276" w:lineRule="auto"/>
              <w:jc w:val="both"/>
              <w:rPr>
                <w:rFonts w:asciiTheme="minorHAnsi" w:hAnsiTheme="minorHAnsi" w:cstheme="minorHAnsi"/>
                <w:bCs/>
                <w:color w:val="000000" w:themeColor="text1"/>
                <w:sz w:val="20"/>
                <w:szCs w:val="20"/>
              </w:rPr>
            </w:pPr>
            <w:r w:rsidRPr="008C40F0">
              <w:rPr>
                <w:rFonts w:asciiTheme="minorHAnsi" w:hAnsiTheme="minorHAnsi" w:cstheme="minorHAnsi"/>
                <w:bCs/>
                <w:color w:val="000000" w:themeColor="text1"/>
                <w:sz w:val="20"/>
                <w:szCs w:val="20"/>
              </w:rPr>
              <w:t>Komputer stacjonarny. W ofercie wymagane jest podanie modelu, symbolu oraz producenta.</w:t>
            </w:r>
          </w:p>
        </w:tc>
      </w:tr>
      <w:tr w:rsidR="00804E4F" w:rsidRPr="008C40F0" w14:paraId="7C082DBE"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36BE985B"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Zastosowanie</w:t>
            </w:r>
          </w:p>
        </w:tc>
        <w:tc>
          <w:tcPr>
            <w:tcW w:w="8505" w:type="dxa"/>
            <w:shd w:val="clear" w:color="auto" w:fill="auto"/>
            <w:vAlign w:val="center"/>
          </w:tcPr>
          <w:p w14:paraId="48E7B499" w14:textId="77777777" w:rsidR="00804E4F" w:rsidRPr="008C40F0" w:rsidRDefault="00804E4F" w:rsidP="0000142C">
            <w:pPr>
              <w:spacing w:line="276" w:lineRule="auto"/>
              <w:jc w:val="both"/>
              <w:rPr>
                <w:rFonts w:asciiTheme="minorHAnsi" w:hAnsiTheme="minorHAnsi" w:cstheme="minorHAnsi"/>
                <w:bCs/>
                <w:color w:val="000000" w:themeColor="text1"/>
                <w:sz w:val="20"/>
                <w:szCs w:val="20"/>
              </w:rPr>
            </w:pPr>
            <w:r w:rsidRPr="008C40F0">
              <w:rPr>
                <w:rFonts w:asciiTheme="minorHAnsi" w:hAnsiTheme="minorHAnsi" w:cstheme="minorHAnsi"/>
                <w:bCs/>
                <w:color w:val="000000" w:themeColor="text1"/>
                <w:sz w:val="20"/>
                <w:szCs w:val="20"/>
              </w:rPr>
              <w:t>Komputer będzie wykorzystywany dla potrzeb aplikacji biurowych, aplikacji edukacyjnych, aplikacji obliczeniowych, dostępu do Internetu oraz poczty elektronicznej, jako lokalna baza danych, stacja programistyczna.</w:t>
            </w:r>
          </w:p>
        </w:tc>
      </w:tr>
      <w:tr w:rsidR="00297A9A" w:rsidRPr="008C40F0" w14:paraId="2C6FCACF"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68AB6764" w14:textId="6F371E78" w:rsidR="00297A9A" w:rsidRPr="008C40F0" w:rsidRDefault="00297A9A" w:rsidP="0000142C">
            <w:pPr>
              <w:spacing w:line="276" w:lineRule="auto"/>
              <w:jc w:val="both"/>
              <w:rPr>
                <w:rFonts w:asciiTheme="minorHAnsi" w:hAnsiTheme="minorHAnsi" w:cstheme="minorHAnsi"/>
                <w:b/>
                <w:sz w:val="20"/>
                <w:szCs w:val="20"/>
              </w:rPr>
            </w:pPr>
            <w:r>
              <w:rPr>
                <w:rFonts w:asciiTheme="minorHAnsi" w:hAnsiTheme="minorHAnsi" w:cstheme="minorHAnsi"/>
                <w:b/>
                <w:sz w:val="20"/>
                <w:szCs w:val="20"/>
              </w:rPr>
              <w:t>Konfiguracja</w:t>
            </w:r>
          </w:p>
        </w:tc>
        <w:tc>
          <w:tcPr>
            <w:tcW w:w="8505" w:type="dxa"/>
            <w:shd w:val="clear" w:color="auto" w:fill="auto"/>
            <w:vAlign w:val="center"/>
          </w:tcPr>
          <w:p w14:paraId="12AA5AF3" w14:textId="1218FE72" w:rsidR="00297A9A" w:rsidRPr="004420FE" w:rsidRDefault="00297A9A" w:rsidP="0000142C">
            <w:pPr>
              <w:spacing w:line="276" w:lineRule="auto"/>
              <w:jc w:val="both"/>
              <w:rPr>
                <w:rFonts w:asciiTheme="minorHAnsi" w:hAnsiTheme="minorHAnsi" w:cstheme="minorHAnsi"/>
                <w:bCs/>
                <w:sz w:val="20"/>
                <w:szCs w:val="20"/>
              </w:rPr>
            </w:pPr>
            <w:r w:rsidRPr="004420FE">
              <w:rPr>
                <w:rFonts w:asciiTheme="minorHAnsi" w:hAnsiTheme="minorHAnsi" w:cstheme="minorHAnsi"/>
                <w:bCs/>
                <w:sz w:val="20"/>
                <w:szCs w:val="20"/>
              </w:rPr>
              <w:t>Komputer ma zostać dostarczony w</w:t>
            </w:r>
            <w:r w:rsidR="00F44B3F" w:rsidRPr="004420FE">
              <w:rPr>
                <w:rFonts w:asciiTheme="minorHAnsi" w:hAnsiTheme="minorHAnsi" w:cstheme="minorHAnsi"/>
                <w:bCs/>
                <w:sz w:val="20"/>
                <w:szCs w:val="20"/>
              </w:rPr>
              <w:t>g.</w:t>
            </w:r>
            <w:r w:rsidRPr="004420FE">
              <w:rPr>
                <w:rFonts w:asciiTheme="minorHAnsi" w:hAnsiTheme="minorHAnsi" w:cstheme="minorHAnsi"/>
                <w:bCs/>
                <w:sz w:val="20"/>
                <w:szCs w:val="20"/>
              </w:rPr>
              <w:t xml:space="preserve"> wymaganych parametrów </w:t>
            </w:r>
            <w:r w:rsidR="004D4292" w:rsidRPr="004420FE">
              <w:rPr>
                <w:rFonts w:asciiTheme="minorHAnsi" w:hAnsiTheme="minorHAnsi" w:cstheme="minorHAnsi"/>
                <w:bCs/>
                <w:sz w:val="20"/>
                <w:szCs w:val="20"/>
              </w:rPr>
              <w:t xml:space="preserve">w </w:t>
            </w:r>
            <w:r w:rsidRPr="004420FE">
              <w:rPr>
                <w:rFonts w:asciiTheme="minorHAnsi" w:hAnsiTheme="minorHAnsi" w:cstheme="minorHAnsi"/>
                <w:bCs/>
                <w:sz w:val="20"/>
                <w:szCs w:val="20"/>
              </w:rPr>
              <w:t>ukompletowaniu</w:t>
            </w:r>
            <w:r w:rsidR="00E50235" w:rsidRPr="004420FE">
              <w:rPr>
                <w:rFonts w:asciiTheme="minorHAnsi" w:hAnsiTheme="minorHAnsi" w:cstheme="minorHAnsi"/>
                <w:bCs/>
                <w:sz w:val="20"/>
                <w:szCs w:val="20"/>
              </w:rPr>
              <w:t xml:space="preserve"> wszystkich podzespołów wykonanym przez producenta komputera</w:t>
            </w:r>
            <w:r w:rsidR="00F44B3F" w:rsidRPr="004420FE">
              <w:rPr>
                <w:rFonts w:asciiTheme="minorHAnsi" w:hAnsiTheme="minorHAnsi" w:cstheme="minorHAnsi"/>
                <w:bCs/>
                <w:sz w:val="20"/>
                <w:szCs w:val="20"/>
              </w:rPr>
              <w:t>.</w:t>
            </w:r>
          </w:p>
        </w:tc>
      </w:tr>
      <w:tr w:rsidR="00804E4F" w:rsidRPr="008C40F0" w14:paraId="017AFA61"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60CFBBE5"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Płyta główna</w:t>
            </w:r>
          </w:p>
        </w:tc>
        <w:tc>
          <w:tcPr>
            <w:tcW w:w="8505" w:type="dxa"/>
            <w:shd w:val="clear" w:color="auto" w:fill="auto"/>
            <w:vAlign w:val="center"/>
          </w:tcPr>
          <w:p w14:paraId="1C68335C"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Płyta główna wyposażona przez producenta w dedykowany chipset dla oferowanego procesora, zaprojektowana na zlecenie producenta i oznaczona trwale nazwą lub logiem producenta oferowanego komputera.</w:t>
            </w:r>
          </w:p>
          <w:p w14:paraId="64870ADD"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xml:space="preserve">Płyta główna wyposażona w 1 niezajęte złącze PCI Express x16 generacji 5 lub nowszej, 1 niezajęte złącze PCI Express x4 generacji 4 lub nowszej i 1 niezajęte złącze PCI Express x4 generacji 3 lub nowszej; 4 złącza DIMM z obsługą przynajmniej do 32 GB pamięci RAM DDR5 przez każde złącze (komputer musi zapewniać łącznie obsługę przynajmniej do 128 GB pamięci RAM DDR5); nie mniej niż 4 złącza SATA 3.0; 3 złącza M.2, w tym przynajmniej 2 złącza na dyski SSD M.2 </w:t>
            </w:r>
            <w:proofErr w:type="spellStart"/>
            <w:r w:rsidRPr="008C40F0">
              <w:rPr>
                <w:rFonts w:asciiTheme="minorHAnsi" w:hAnsiTheme="minorHAnsi" w:cstheme="minorHAnsi"/>
                <w:sz w:val="20"/>
                <w:szCs w:val="20"/>
              </w:rPr>
              <w:t>NVMe</w:t>
            </w:r>
            <w:proofErr w:type="spellEnd"/>
            <w:r w:rsidRPr="008C40F0">
              <w:rPr>
                <w:rFonts w:asciiTheme="minorHAnsi" w:hAnsiTheme="minorHAnsi" w:cstheme="minorHAnsi"/>
                <w:sz w:val="20"/>
                <w:szCs w:val="20"/>
              </w:rPr>
              <w:t xml:space="preserve"> 2230 i 2280 (montaż dysków M.2 </w:t>
            </w:r>
            <w:proofErr w:type="spellStart"/>
            <w:r w:rsidRPr="008C40F0">
              <w:rPr>
                <w:rFonts w:asciiTheme="minorHAnsi" w:hAnsiTheme="minorHAnsi" w:cstheme="minorHAnsi"/>
                <w:sz w:val="20"/>
                <w:szCs w:val="20"/>
              </w:rPr>
              <w:t>NVMe</w:t>
            </w:r>
            <w:proofErr w:type="spellEnd"/>
            <w:r w:rsidRPr="008C40F0">
              <w:rPr>
                <w:rFonts w:asciiTheme="minorHAnsi" w:hAnsiTheme="minorHAnsi" w:cstheme="minorHAnsi"/>
                <w:sz w:val="20"/>
                <w:szCs w:val="20"/>
              </w:rPr>
              <w:t xml:space="preserve"> 2230 może być realizowany za pomocą adapterów wydłużających je do rozmiaru 2280);</w:t>
            </w:r>
            <w:r w:rsidRPr="008C40F0">
              <w:rPr>
                <w:rFonts w:asciiTheme="minorHAnsi" w:hAnsiTheme="minorHAnsi" w:cstheme="minorHAnsi"/>
                <w:color w:val="FF0000"/>
                <w:sz w:val="20"/>
                <w:szCs w:val="20"/>
              </w:rPr>
              <w:t xml:space="preserve"> </w:t>
            </w:r>
            <w:r w:rsidRPr="008C40F0">
              <w:rPr>
                <w:rFonts w:asciiTheme="minorHAnsi" w:hAnsiTheme="minorHAnsi" w:cstheme="minorHAnsi"/>
                <w:sz w:val="20"/>
                <w:szCs w:val="20"/>
              </w:rPr>
              <w:t>zintegrowany kontroler RAID obsługujący macierze RAID 0, 1, 5, 10. Wymagana ilość i rozmieszczenie (na płycie głównej) wszystkich wymaganych złączy nie może być osiągnięta w wyniku stosowania konwerterów, przejściówek czy kart rozszerzeń itp. W każdym przypadku opis slotu dotyczy jego minimalnej przepustowości, a nie tylko minimalnej długości.</w:t>
            </w:r>
          </w:p>
          <w:p w14:paraId="2BB8B433"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Zintegrowany z płytą główną dedykowany układ sprzętowy kompatybilny ze standardem TPM 2.0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67E5E24A"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Sprzętowo wspierana technologia zarządzania i monitorowania komputerem, realizowana łącznie w procesorze, chipsecie płyty głównej i karcie sieciowej na poziomie sprzętowym, zgodna z otwartymi standardami, działająca niezależnie od stanu czy obecności systemu operacyjnego, obsługująca zdalną komunikację sieciową w oparciu o protokół IPv4 oraz IPv6, a także zapewniająca:</w:t>
            </w:r>
          </w:p>
          <w:p w14:paraId="792721F2"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a) monitorowanie konfiguracji komponentów komputera: procesora, pamięci, pamięci masowej, wersji BIOS płyty głównej;</w:t>
            </w:r>
          </w:p>
          <w:p w14:paraId="6D4E44C9"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b) zdalną konfigurację ustawień BIOS, możliwość przypisania w BIOS numeru nadawanego przez administratora;</w:t>
            </w:r>
          </w:p>
          <w:p w14:paraId="6EB1C73B"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c) zdalne przejęcie konsoli tekstowej systemu, przekierowanie procesu ładowania systemu operacyjnego z wirtualnego napędu z serwera zarządzającego;</w:t>
            </w:r>
          </w:p>
          <w:p w14:paraId="35351826"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d) funkcjonalność zdalnego przejęcia ekranu, klawiatury i myszy komputera na dowolnym etapie jego działania od chwili wciśnięcia przycisku zasilania, niezależnie od stanu czy obecności systemu operacyjnego (funkcjonalność dostępna przynajmniej wtedy, gdy w komputerze jest zainstalowany procesor zapewniający sprzętowe wsparcie dla zdalnego przejęcia ekranu, klawiatury i myszy oraz jest wykorzystywana karta graficzna zintegrowana w tym procesorze);</w:t>
            </w:r>
          </w:p>
          <w:p w14:paraId="50EC2B11"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e) zapis i przechowywanie dodatkowych informacji o wersji zainstalowanego oprogramowania i zdalny odczyt tych informacji (wersja, zainstalowane uaktualnienia, sygnatury wirusów, itp.) z wbudowanej pamięci nieulotnej;</w:t>
            </w:r>
          </w:p>
          <w:p w14:paraId="0F3D0D09"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f) nawiązywanie przez sprzętowy mechanizm zarządzania zdalnego połączenia szyfrowanego protokołem SSL/TLS z predefiniowanym serwerem zarządzającym w definiowanych odstępach czasu, w przypadku wystąpienia predefiniowanego zdarzenia lub błędu systemowego (tzw. platform event) oraz na żądanie użytkownika z poziomu BIOS;</w:t>
            </w:r>
          </w:p>
          <w:p w14:paraId="3429CE4A"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lastRenderedPageBreak/>
              <w:t>g) wbudowany sprzętowo log operacji zdalnego zarządzania, możliwy do kasowania tylko przez upoważnionego użytkownika systemu sprzętowego zarządzania zdalnego;</w:t>
            </w:r>
          </w:p>
          <w:p w14:paraId="42DBB351" w14:textId="77777777" w:rsidR="00804E4F" w:rsidRPr="008C40F0" w:rsidRDefault="00804E4F" w:rsidP="0000142C">
            <w:pPr>
              <w:spacing w:line="276" w:lineRule="auto"/>
              <w:jc w:val="both"/>
              <w:rPr>
                <w:rFonts w:asciiTheme="minorHAnsi" w:hAnsiTheme="minorHAnsi" w:cstheme="minorHAnsi"/>
                <w:bCs/>
                <w:color w:val="000000" w:themeColor="text1"/>
                <w:sz w:val="20"/>
                <w:szCs w:val="20"/>
              </w:rPr>
            </w:pPr>
            <w:r w:rsidRPr="008C40F0">
              <w:rPr>
                <w:rFonts w:asciiTheme="minorHAnsi" w:hAnsiTheme="minorHAnsi" w:cstheme="minorHAnsi"/>
                <w:sz w:val="20"/>
                <w:szCs w:val="20"/>
              </w:rPr>
              <w:t>h) sprzętowy firewall zarządzany i konfigurowany wyłącznie z serwera zarządzania oraz niedostępny dla lokalnego systemu OS i lokalnych aplikacji.</w:t>
            </w:r>
          </w:p>
        </w:tc>
      </w:tr>
      <w:tr w:rsidR="00804E4F" w:rsidRPr="008C40F0" w14:paraId="799C21A0"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65E40772"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lastRenderedPageBreak/>
              <w:t>Procesor</w:t>
            </w:r>
          </w:p>
        </w:tc>
        <w:tc>
          <w:tcPr>
            <w:tcW w:w="8505" w:type="dxa"/>
            <w:shd w:val="clear" w:color="auto" w:fill="auto"/>
            <w:vAlign w:val="center"/>
          </w:tcPr>
          <w:p w14:paraId="77FE80B2" w14:textId="3BCEB9DA" w:rsidR="00EE74F8" w:rsidRPr="008C40F0" w:rsidRDefault="00804E4F" w:rsidP="00337078">
            <w:pPr>
              <w:spacing w:line="276" w:lineRule="auto"/>
              <w:jc w:val="both"/>
              <w:rPr>
                <w:rFonts w:asciiTheme="minorHAnsi" w:hAnsiTheme="minorHAnsi" w:cstheme="minorHAnsi"/>
                <w:bCs/>
                <w:color w:val="000000" w:themeColor="text1"/>
                <w:sz w:val="20"/>
                <w:szCs w:val="20"/>
              </w:rPr>
            </w:pPr>
            <w:r w:rsidRPr="008C40F0">
              <w:rPr>
                <w:rFonts w:asciiTheme="minorHAnsi" w:hAnsiTheme="minorHAnsi" w:cstheme="minorHAnsi"/>
                <w:bCs/>
                <w:color w:val="000000" w:themeColor="text1"/>
                <w:sz w:val="20"/>
                <w:szCs w:val="20"/>
              </w:rPr>
              <w:t xml:space="preserve">Procesor dedykowany do pracy w komputerach stacjonarnych. </w:t>
            </w:r>
            <w:r w:rsidR="00EE74F8" w:rsidRPr="002E6C41">
              <w:rPr>
                <w:rFonts w:asciiTheme="minorHAnsi" w:hAnsiTheme="minorHAnsi" w:cstheme="minorHAnsi"/>
                <w:bCs/>
                <w:color w:val="000000" w:themeColor="text1"/>
                <w:sz w:val="20"/>
                <w:szCs w:val="20"/>
              </w:rPr>
              <w:t xml:space="preserve"> Procesor osiągający w teście </w:t>
            </w:r>
            <w:r w:rsidR="00EE74F8">
              <w:rPr>
                <w:rFonts w:asciiTheme="minorHAnsi" w:hAnsiTheme="minorHAnsi" w:cstheme="minorHAnsi"/>
                <w:bCs/>
                <w:color w:val="000000" w:themeColor="text1"/>
                <w:sz w:val="20"/>
                <w:szCs w:val="20"/>
              </w:rPr>
              <w:t>„</w:t>
            </w:r>
            <w:proofErr w:type="spellStart"/>
            <w:r w:rsidR="00EE74F8" w:rsidRPr="00C93C57">
              <w:rPr>
                <w:rFonts w:asciiTheme="minorHAnsi" w:hAnsiTheme="minorHAnsi" w:cstheme="minorHAnsi"/>
                <w:bCs/>
                <w:color w:val="000000" w:themeColor="text1"/>
                <w:sz w:val="20"/>
                <w:szCs w:val="20"/>
              </w:rPr>
              <w:t>PassMark</w:t>
            </w:r>
            <w:proofErr w:type="spellEnd"/>
            <w:r w:rsidR="00EE74F8" w:rsidRPr="00C93C57">
              <w:rPr>
                <w:rFonts w:asciiTheme="minorHAnsi" w:hAnsiTheme="minorHAnsi" w:cstheme="minorHAnsi"/>
                <w:bCs/>
                <w:color w:val="000000" w:themeColor="text1"/>
                <w:sz w:val="20"/>
                <w:szCs w:val="20"/>
              </w:rPr>
              <w:t xml:space="preserve"> - CPU Mark</w:t>
            </w:r>
            <w:r w:rsidR="00EE74F8">
              <w:rPr>
                <w:rFonts w:asciiTheme="minorHAnsi" w:hAnsiTheme="minorHAnsi" w:cstheme="minorHAnsi"/>
                <w:bCs/>
                <w:color w:val="000000" w:themeColor="text1"/>
                <w:sz w:val="20"/>
                <w:szCs w:val="20"/>
              </w:rPr>
              <w:t xml:space="preserve">” wynik co najmniej </w:t>
            </w:r>
            <w:r w:rsidR="00337078" w:rsidRPr="004F73BF">
              <w:rPr>
                <w:rFonts w:asciiTheme="minorHAnsi" w:hAnsiTheme="minorHAnsi" w:cstheme="minorHAnsi"/>
                <w:bCs/>
                <w:sz w:val="20"/>
                <w:szCs w:val="20"/>
              </w:rPr>
              <w:t>3</w:t>
            </w:r>
            <w:r w:rsidR="004C0316">
              <w:rPr>
                <w:rFonts w:asciiTheme="minorHAnsi" w:hAnsiTheme="minorHAnsi" w:cstheme="minorHAnsi"/>
                <w:bCs/>
                <w:sz w:val="20"/>
                <w:szCs w:val="20"/>
              </w:rPr>
              <w:t>8 800</w:t>
            </w:r>
            <w:r w:rsidR="00EE74F8" w:rsidRPr="004F73BF">
              <w:rPr>
                <w:rFonts w:asciiTheme="minorHAnsi" w:hAnsiTheme="minorHAnsi" w:cstheme="minorHAnsi"/>
                <w:bCs/>
                <w:sz w:val="20"/>
                <w:szCs w:val="20"/>
              </w:rPr>
              <w:t xml:space="preserve"> pkt </w:t>
            </w:r>
            <w:r w:rsidR="00EE74F8">
              <w:rPr>
                <w:rFonts w:asciiTheme="minorHAnsi" w:hAnsiTheme="minorHAnsi" w:cstheme="minorHAnsi"/>
                <w:bCs/>
                <w:color w:val="000000" w:themeColor="text1"/>
                <w:sz w:val="20"/>
                <w:szCs w:val="20"/>
              </w:rPr>
              <w:t>(</w:t>
            </w:r>
            <w:r w:rsidR="00EE74F8" w:rsidRPr="003B7A39">
              <w:rPr>
                <w:rFonts w:asciiTheme="minorHAnsi" w:hAnsiTheme="minorHAnsi" w:cstheme="minorHAnsi"/>
                <w:bCs/>
                <w:color w:val="000000" w:themeColor="text1"/>
                <w:sz w:val="20"/>
                <w:szCs w:val="20"/>
              </w:rPr>
              <w:t>zgodnie z załącznikiem A1</w:t>
            </w:r>
            <w:r w:rsidR="00EE74F8">
              <w:rPr>
                <w:rFonts w:asciiTheme="minorHAnsi" w:hAnsiTheme="minorHAnsi" w:cstheme="minorHAnsi"/>
                <w:bCs/>
                <w:color w:val="000000" w:themeColor="text1"/>
                <w:sz w:val="20"/>
                <w:szCs w:val="20"/>
              </w:rPr>
              <w:t>)</w:t>
            </w:r>
            <w:r w:rsidR="00EE74F8" w:rsidRPr="002E6C41">
              <w:rPr>
                <w:rFonts w:asciiTheme="minorHAnsi" w:hAnsiTheme="minorHAnsi" w:cstheme="minorHAnsi"/>
                <w:bCs/>
                <w:color w:val="000000" w:themeColor="text1"/>
                <w:sz w:val="20"/>
                <w:szCs w:val="20"/>
              </w:rPr>
              <w:t>.</w:t>
            </w:r>
          </w:p>
        </w:tc>
      </w:tr>
      <w:tr w:rsidR="00804E4F" w:rsidRPr="008C40F0" w14:paraId="28F9AA8E" w14:textId="77777777" w:rsidTr="005D1419">
        <w:tblPrEx>
          <w:jc w:val="left"/>
          <w:tblCellMar>
            <w:left w:w="108" w:type="dxa"/>
            <w:right w:w="108" w:type="dxa"/>
          </w:tblCellMar>
          <w:tblLook w:val="04A0" w:firstRow="1" w:lastRow="0" w:firstColumn="1" w:lastColumn="0" w:noHBand="0" w:noVBand="1"/>
        </w:tblPrEx>
        <w:trPr>
          <w:trHeight w:val="456"/>
        </w:trPr>
        <w:tc>
          <w:tcPr>
            <w:tcW w:w="1843" w:type="dxa"/>
            <w:shd w:val="clear" w:color="auto" w:fill="auto"/>
            <w:vAlign w:val="center"/>
          </w:tcPr>
          <w:p w14:paraId="75C2E5CB"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Pamięć RAM</w:t>
            </w:r>
          </w:p>
        </w:tc>
        <w:tc>
          <w:tcPr>
            <w:tcW w:w="8505" w:type="dxa"/>
            <w:shd w:val="clear" w:color="auto" w:fill="auto"/>
            <w:vAlign w:val="center"/>
          </w:tcPr>
          <w:p w14:paraId="50F68186" w14:textId="7D285ABD"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xml:space="preserve">Min. </w:t>
            </w:r>
            <w:r w:rsidR="004C0316">
              <w:rPr>
                <w:rFonts w:asciiTheme="minorHAnsi" w:hAnsiTheme="minorHAnsi" w:cstheme="minorHAnsi"/>
                <w:sz w:val="20"/>
                <w:szCs w:val="20"/>
              </w:rPr>
              <w:t>32</w:t>
            </w:r>
            <w:r w:rsidRPr="008C40F0">
              <w:rPr>
                <w:rFonts w:asciiTheme="minorHAnsi" w:hAnsiTheme="minorHAnsi" w:cstheme="minorHAnsi"/>
                <w:sz w:val="20"/>
                <w:szCs w:val="20"/>
              </w:rPr>
              <w:t xml:space="preserve"> GB pamięci RAM DDR5 o częstotliwości min. 4400 MHz.</w:t>
            </w:r>
          </w:p>
          <w:p w14:paraId="1BD3D75C" w14:textId="77777777" w:rsidR="00804E4F" w:rsidRPr="008C40F0" w:rsidRDefault="00804E4F" w:rsidP="0000142C">
            <w:pPr>
              <w:spacing w:line="276" w:lineRule="auto"/>
              <w:jc w:val="both"/>
              <w:rPr>
                <w:rFonts w:asciiTheme="minorHAnsi" w:hAnsiTheme="minorHAnsi" w:cstheme="minorHAnsi"/>
                <w:bCs/>
                <w:color w:val="000000" w:themeColor="text1"/>
                <w:sz w:val="20"/>
                <w:szCs w:val="20"/>
              </w:rPr>
            </w:pPr>
            <w:r w:rsidRPr="008C40F0">
              <w:rPr>
                <w:rFonts w:asciiTheme="minorHAnsi" w:hAnsiTheme="minorHAnsi" w:cstheme="minorHAnsi"/>
                <w:sz w:val="20"/>
                <w:szCs w:val="20"/>
              </w:rPr>
              <w:t>Minimum cztery gniazda, w tym co najmniej trzy wolne.</w:t>
            </w:r>
          </w:p>
        </w:tc>
      </w:tr>
      <w:tr w:rsidR="00804E4F" w:rsidRPr="008C40F0" w14:paraId="5184E595" w14:textId="77777777" w:rsidTr="005D1419">
        <w:tblPrEx>
          <w:jc w:val="left"/>
          <w:tblCellMar>
            <w:left w:w="108" w:type="dxa"/>
            <w:right w:w="108" w:type="dxa"/>
          </w:tblCellMar>
          <w:tblLook w:val="04A0" w:firstRow="1" w:lastRow="0" w:firstColumn="1" w:lastColumn="0" w:noHBand="0" w:noVBand="1"/>
        </w:tblPrEx>
        <w:trPr>
          <w:trHeight w:val="419"/>
        </w:trPr>
        <w:tc>
          <w:tcPr>
            <w:tcW w:w="1843" w:type="dxa"/>
            <w:shd w:val="clear" w:color="auto" w:fill="auto"/>
            <w:vAlign w:val="center"/>
          </w:tcPr>
          <w:p w14:paraId="0D10E407" w14:textId="77777777" w:rsidR="00804E4F" w:rsidRPr="008C40F0" w:rsidRDefault="00804E4F" w:rsidP="0000142C">
            <w:pPr>
              <w:spacing w:line="276" w:lineRule="auto"/>
              <w:jc w:val="both"/>
              <w:rPr>
                <w:rFonts w:asciiTheme="minorHAnsi" w:hAnsiTheme="minorHAnsi" w:cstheme="minorHAnsi"/>
                <w:b/>
                <w:color w:val="000000" w:themeColor="text1"/>
                <w:sz w:val="20"/>
                <w:szCs w:val="20"/>
              </w:rPr>
            </w:pPr>
            <w:r w:rsidRPr="008C40F0">
              <w:rPr>
                <w:rFonts w:asciiTheme="minorHAnsi" w:hAnsiTheme="minorHAnsi" w:cstheme="minorHAnsi"/>
                <w:b/>
                <w:color w:val="000000" w:themeColor="text1"/>
                <w:sz w:val="20"/>
                <w:szCs w:val="20"/>
              </w:rPr>
              <w:t>Pamięć masowa</w:t>
            </w:r>
          </w:p>
        </w:tc>
        <w:tc>
          <w:tcPr>
            <w:tcW w:w="8505" w:type="dxa"/>
            <w:shd w:val="clear" w:color="auto" w:fill="auto"/>
            <w:vAlign w:val="center"/>
          </w:tcPr>
          <w:p w14:paraId="5C089D3C" w14:textId="2A71F65B" w:rsidR="00804E4F" w:rsidRPr="008C40F0" w:rsidRDefault="00804E4F" w:rsidP="0000142C">
            <w:pPr>
              <w:autoSpaceDE w:val="0"/>
              <w:autoSpaceDN w:val="0"/>
              <w:adjustRightInd w:val="0"/>
              <w:rPr>
                <w:rFonts w:asciiTheme="minorHAnsi" w:hAnsiTheme="minorHAnsi" w:cstheme="minorHAnsi"/>
                <w:bCs/>
                <w:color w:val="000000" w:themeColor="text1"/>
                <w:sz w:val="20"/>
                <w:szCs w:val="20"/>
              </w:rPr>
            </w:pPr>
            <w:r w:rsidRPr="008C40F0">
              <w:rPr>
                <w:rFonts w:asciiTheme="minorHAnsi" w:hAnsiTheme="minorHAnsi" w:cstheme="minorHAnsi"/>
                <w:bCs/>
                <w:color w:val="000000" w:themeColor="text1"/>
                <w:sz w:val="20"/>
                <w:szCs w:val="20"/>
              </w:rPr>
              <w:t xml:space="preserve">Min. </w:t>
            </w:r>
            <w:r w:rsidR="00D214D1">
              <w:rPr>
                <w:rFonts w:asciiTheme="minorHAnsi" w:hAnsiTheme="minorHAnsi" w:cstheme="minorHAnsi"/>
                <w:bCs/>
                <w:color w:val="000000" w:themeColor="text1"/>
                <w:sz w:val="20"/>
                <w:szCs w:val="20"/>
              </w:rPr>
              <w:t>jeden dysk</w:t>
            </w:r>
            <w:r w:rsidRPr="008C40F0">
              <w:rPr>
                <w:rFonts w:asciiTheme="minorHAnsi" w:hAnsiTheme="minorHAnsi" w:cstheme="minorHAnsi"/>
                <w:bCs/>
                <w:color w:val="000000" w:themeColor="text1"/>
                <w:sz w:val="20"/>
                <w:szCs w:val="20"/>
              </w:rPr>
              <w:t xml:space="preserve"> M.2 </w:t>
            </w:r>
            <w:proofErr w:type="spellStart"/>
            <w:r w:rsidRPr="008C40F0">
              <w:rPr>
                <w:rFonts w:asciiTheme="minorHAnsi" w:hAnsiTheme="minorHAnsi" w:cstheme="minorHAnsi"/>
                <w:bCs/>
                <w:color w:val="000000" w:themeColor="text1"/>
                <w:sz w:val="20"/>
                <w:szCs w:val="20"/>
              </w:rPr>
              <w:t>NVMe</w:t>
            </w:r>
            <w:proofErr w:type="spellEnd"/>
            <w:r w:rsidRPr="008C40F0">
              <w:rPr>
                <w:rFonts w:asciiTheme="minorHAnsi" w:hAnsiTheme="minorHAnsi" w:cstheme="minorHAnsi"/>
                <w:bCs/>
                <w:color w:val="000000" w:themeColor="text1"/>
                <w:sz w:val="20"/>
                <w:szCs w:val="20"/>
              </w:rPr>
              <w:t xml:space="preserve"> o pojemności 512 GB każdy</w:t>
            </w:r>
            <w:r>
              <w:rPr>
                <w:rFonts w:asciiTheme="minorHAnsi" w:hAnsiTheme="minorHAnsi" w:cstheme="minorHAnsi"/>
                <w:bCs/>
                <w:color w:val="000000" w:themeColor="text1"/>
                <w:sz w:val="20"/>
                <w:szCs w:val="20"/>
              </w:rPr>
              <w:t xml:space="preserve">, min. </w:t>
            </w:r>
            <w:r>
              <w:rPr>
                <w:rFonts w:cs="Calibri"/>
                <w:sz w:val="20"/>
                <w:szCs w:val="20"/>
              </w:rPr>
              <w:t xml:space="preserve">jeden dysk </w:t>
            </w:r>
            <w:r w:rsidR="00DA28DC">
              <w:rPr>
                <w:rFonts w:cs="Calibri"/>
                <w:sz w:val="20"/>
                <w:szCs w:val="20"/>
              </w:rPr>
              <w:t xml:space="preserve">2 </w:t>
            </w:r>
            <w:r>
              <w:rPr>
                <w:rFonts w:cs="Calibri"/>
                <w:sz w:val="20"/>
                <w:szCs w:val="20"/>
              </w:rPr>
              <w:t>TB 7200rpm SATA 3.5"</w:t>
            </w:r>
          </w:p>
        </w:tc>
      </w:tr>
      <w:tr w:rsidR="00804E4F" w:rsidRPr="008C40F0" w14:paraId="614AA43D" w14:textId="77777777" w:rsidTr="005D1419">
        <w:tblPrEx>
          <w:jc w:val="left"/>
          <w:tblCellMar>
            <w:left w:w="108" w:type="dxa"/>
            <w:right w:w="108" w:type="dxa"/>
          </w:tblCellMar>
          <w:tblLook w:val="04A0" w:firstRow="1" w:lastRow="0" w:firstColumn="1" w:lastColumn="0" w:noHBand="0" w:noVBand="1"/>
        </w:tblPrEx>
        <w:trPr>
          <w:trHeight w:val="881"/>
        </w:trPr>
        <w:tc>
          <w:tcPr>
            <w:tcW w:w="1843" w:type="dxa"/>
            <w:shd w:val="clear" w:color="auto" w:fill="auto"/>
            <w:vAlign w:val="center"/>
          </w:tcPr>
          <w:p w14:paraId="72685659"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Wydajność grafiki</w:t>
            </w:r>
          </w:p>
        </w:tc>
        <w:tc>
          <w:tcPr>
            <w:tcW w:w="8505" w:type="dxa"/>
            <w:shd w:val="clear" w:color="auto" w:fill="auto"/>
            <w:vAlign w:val="center"/>
          </w:tcPr>
          <w:p w14:paraId="27C590A4" w14:textId="3AE79165" w:rsidR="00EE74F8" w:rsidRPr="008C40F0" w:rsidRDefault="00804E4F" w:rsidP="005F51D2">
            <w:pPr>
              <w:spacing w:line="276" w:lineRule="auto"/>
              <w:jc w:val="both"/>
              <w:rPr>
                <w:rFonts w:asciiTheme="minorHAnsi" w:hAnsiTheme="minorHAnsi" w:cstheme="minorHAnsi"/>
                <w:bCs/>
                <w:color w:val="000000" w:themeColor="text1"/>
                <w:sz w:val="20"/>
                <w:szCs w:val="20"/>
              </w:rPr>
            </w:pPr>
            <w:r w:rsidRPr="008C40F0">
              <w:rPr>
                <w:rFonts w:asciiTheme="minorHAnsi" w:hAnsiTheme="minorHAnsi" w:cstheme="minorHAnsi"/>
                <w:bCs/>
                <w:color w:val="000000" w:themeColor="text1"/>
                <w:sz w:val="20"/>
                <w:szCs w:val="20"/>
              </w:rPr>
              <w:t xml:space="preserve">Dedykowana karta graficzna z min. 6GB pamięci niewspółdzielonej z min 4 portami mini Display Port, </w:t>
            </w:r>
            <w:r w:rsidR="00EE74F8" w:rsidRPr="002E6C41">
              <w:rPr>
                <w:rFonts w:asciiTheme="minorHAnsi" w:hAnsiTheme="minorHAnsi" w:cstheme="minorHAnsi"/>
                <w:bCs/>
                <w:color w:val="000000" w:themeColor="text1"/>
                <w:sz w:val="20"/>
                <w:szCs w:val="20"/>
              </w:rPr>
              <w:t xml:space="preserve">osiągająca w teście </w:t>
            </w:r>
            <w:r w:rsidR="00EE74F8">
              <w:rPr>
                <w:rFonts w:asciiTheme="minorHAnsi" w:hAnsiTheme="minorHAnsi" w:cstheme="minorHAnsi"/>
                <w:bCs/>
                <w:color w:val="000000" w:themeColor="text1"/>
                <w:sz w:val="20"/>
                <w:szCs w:val="20"/>
              </w:rPr>
              <w:t>„</w:t>
            </w:r>
            <w:proofErr w:type="spellStart"/>
            <w:r w:rsidR="00EE74F8" w:rsidRPr="00C93C57">
              <w:rPr>
                <w:rFonts w:asciiTheme="minorHAnsi" w:hAnsiTheme="minorHAnsi" w:cstheme="minorHAnsi"/>
                <w:bCs/>
                <w:color w:val="000000" w:themeColor="text1"/>
                <w:sz w:val="20"/>
                <w:szCs w:val="20"/>
              </w:rPr>
              <w:t>PassMark</w:t>
            </w:r>
            <w:proofErr w:type="spellEnd"/>
            <w:r w:rsidR="00EE74F8" w:rsidRPr="00C93C57">
              <w:rPr>
                <w:rFonts w:asciiTheme="minorHAnsi" w:hAnsiTheme="minorHAnsi" w:cstheme="minorHAnsi"/>
                <w:bCs/>
                <w:color w:val="000000" w:themeColor="text1"/>
                <w:sz w:val="20"/>
                <w:szCs w:val="20"/>
              </w:rPr>
              <w:t xml:space="preserve"> - G3D Mark</w:t>
            </w:r>
            <w:r w:rsidR="00EE74F8">
              <w:rPr>
                <w:rFonts w:asciiTheme="minorHAnsi" w:hAnsiTheme="minorHAnsi" w:cstheme="minorHAnsi"/>
                <w:bCs/>
                <w:color w:val="000000" w:themeColor="text1"/>
                <w:sz w:val="20"/>
                <w:szCs w:val="20"/>
              </w:rPr>
              <w:t>”</w:t>
            </w:r>
            <w:r w:rsidR="00EE74F8" w:rsidRPr="002E6C41">
              <w:rPr>
                <w:rFonts w:asciiTheme="minorHAnsi" w:hAnsiTheme="minorHAnsi" w:cstheme="minorHAnsi"/>
                <w:bCs/>
                <w:color w:val="000000" w:themeColor="text1"/>
                <w:sz w:val="20"/>
                <w:szCs w:val="20"/>
              </w:rPr>
              <w:t xml:space="preserve"> wynik co najmniej </w:t>
            </w:r>
            <w:r w:rsidR="00EE74F8">
              <w:rPr>
                <w:rFonts w:asciiTheme="minorHAnsi" w:hAnsiTheme="minorHAnsi" w:cstheme="minorHAnsi"/>
                <w:bCs/>
                <w:color w:val="000000" w:themeColor="text1"/>
                <w:sz w:val="20"/>
                <w:szCs w:val="20"/>
              </w:rPr>
              <w:t xml:space="preserve">13 </w:t>
            </w:r>
            <w:r w:rsidR="007E369F">
              <w:rPr>
                <w:rFonts w:asciiTheme="minorHAnsi" w:hAnsiTheme="minorHAnsi" w:cstheme="minorHAnsi"/>
                <w:bCs/>
                <w:color w:val="000000" w:themeColor="text1"/>
                <w:sz w:val="20"/>
                <w:szCs w:val="20"/>
              </w:rPr>
              <w:t>5</w:t>
            </w:r>
            <w:r w:rsidR="00610FF0">
              <w:rPr>
                <w:rFonts w:asciiTheme="minorHAnsi" w:hAnsiTheme="minorHAnsi" w:cstheme="minorHAnsi"/>
                <w:bCs/>
                <w:color w:val="000000" w:themeColor="text1"/>
                <w:sz w:val="20"/>
                <w:szCs w:val="20"/>
              </w:rPr>
              <w:t>5</w:t>
            </w:r>
            <w:r w:rsidR="001A4ECD">
              <w:rPr>
                <w:rFonts w:asciiTheme="minorHAnsi" w:hAnsiTheme="minorHAnsi" w:cstheme="minorHAnsi"/>
                <w:bCs/>
                <w:color w:val="000000" w:themeColor="text1"/>
                <w:sz w:val="20"/>
                <w:szCs w:val="20"/>
              </w:rPr>
              <w:t>0</w:t>
            </w:r>
            <w:r w:rsidR="00337078" w:rsidRPr="002E6C41">
              <w:rPr>
                <w:rFonts w:asciiTheme="minorHAnsi" w:hAnsiTheme="minorHAnsi" w:cstheme="minorHAnsi"/>
                <w:bCs/>
                <w:color w:val="000000" w:themeColor="text1"/>
                <w:sz w:val="20"/>
                <w:szCs w:val="20"/>
              </w:rPr>
              <w:t xml:space="preserve"> </w:t>
            </w:r>
            <w:r w:rsidR="00EE74F8" w:rsidRPr="002E6C41">
              <w:rPr>
                <w:rFonts w:asciiTheme="minorHAnsi" w:hAnsiTheme="minorHAnsi" w:cstheme="minorHAnsi"/>
                <w:bCs/>
                <w:color w:val="000000" w:themeColor="text1"/>
                <w:sz w:val="20"/>
                <w:szCs w:val="20"/>
              </w:rPr>
              <w:t xml:space="preserve">pkt. </w:t>
            </w:r>
            <w:r w:rsidR="00EE74F8">
              <w:rPr>
                <w:rFonts w:asciiTheme="minorHAnsi" w:hAnsiTheme="minorHAnsi" w:cstheme="minorHAnsi"/>
                <w:bCs/>
                <w:color w:val="000000" w:themeColor="text1"/>
                <w:sz w:val="20"/>
                <w:szCs w:val="20"/>
              </w:rPr>
              <w:t>(zgodnie z załącznikiem A2)</w:t>
            </w:r>
            <w:r w:rsidR="00EE74F8" w:rsidRPr="002E6C41">
              <w:rPr>
                <w:rFonts w:asciiTheme="minorHAnsi" w:hAnsiTheme="minorHAnsi" w:cstheme="minorHAnsi"/>
                <w:bCs/>
                <w:color w:val="000000" w:themeColor="text1"/>
                <w:sz w:val="20"/>
                <w:szCs w:val="20"/>
              </w:rPr>
              <w:t>.</w:t>
            </w:r>
          </w:p>
        </w:tc>
      </w:tr>
      <w:tr w:rsidR="00804E4F" w:rsidRPr="008C40F0" w14:paraId="6FA6428F" w14:textId="77777777" w:rsidTr="005D1419">
        <w:tblPrEx>
          <w:jc w:val="left"/>
          <w:tblCellMar>
            <w:left w:w="108" w:type="dxa"/>
            <w:right w:w="108" w:type="dxa"/>
          </w:tblCellMar>
          <w:tblLook w:val="04A0" w:firstRow="1" w:lastRow="0" w:firstColumn="1" w:lastColumn="0" w:noHBand="0" w:noVBand="1"/>
        </w:tblPrEx>
        <w:trPr>
          <w:trHeight w:val="553"/>
        </w:trPr>
        <w:tc>
          <w:tcPr>
            <w:tcW w:w="1843" w:type="dxa"/>
            <w:shd w:val="clear" w:color="auto" w:fill="auto"/>
            <w:vAlign w:val="center"/>
          </w:tcPr>
          <w:p w14:paraId="078BAF00"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Karta sieciowa</w:t>
            </w:r>
          </w:p>
        </w:tc>
        <w:tc>
          <w:tcPr>
            <w:tcW w:w="8505" w:type="dxa"/>
            <w:shd w:val="clear" w:color="auto" w:fill="auto"/>
            <w:vAlign w:val="center"/>
          </w:tcPr>
          <w:p w14:paraId="14C549A0"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eastAsia="Arial" w:hAnsiTheme="minorHAnsi" w:cstheme="minorHAnsi"/>
                <w:spacing w:val="-2"/>
                <w:sz w:val="20"/>
                <w:szCs w:val="20"/>
              </w:rPr>
              <w:t>Zintegrowana z p</w:t>
            </w:r>
            <w:r w:rsidRPr="008C40F0">
              <w:rPr>
                <w:rFonts w:asciiTheme="minorHAnsi" w:eastAsia="Arial" w:hAnsiTheme="minorHAnsi" w:cstheme="minorHAnsi"/>
                <w:sz w:val="20"/>
                <w:szCs w:val="20"/>
              </w:rPr>
              <w:t xml:space="preserve">łytą Ethernet 10/100/1000 z funkcją Wake On </w:t>
            </w:r>
            <w:proofErr w:type="spellStart"/>
            <w:r w:rsidRPr="008C40F0">
              <w:rPr>
                <w:rFonts w:asciiTheme="minorHAnsi" w:eastAsia="Arial" w:hAnsiTheme="minorHAnsi" w:cstheme="minorHAnsi"/>
                <w:sz w:val="20"/>
                <w:szCs w:val="20"/>
              </w:rPr>
              <w:t>Lan</w:t>
            </w:r>
            <w:proofErr w:type="spellEnd"/>
            <w:r w:rsidRPr="008C40F0">
              <w:rPr>
                <w:rFonts w:asciiTheme="minorHAnsi" w:eastAsia="Arial" w:hAnsiTheme="minorHAnsi" w:cstheme="minorHAnsi"/>
                <w:sz w:val="20"/>
                <w:szCs w:val="20"/>
              </w:rPr>
              <w:t xml:space="preserve"> oraz obsługą PXE.</w:t>
            </w:r>
          </w:p>
        </w:tc>
      </w:tr>
      <w:tr w:rsidR="00804E4F" w:rsidRPr="008C40F0" w14:paraId="076423AC" w14:textId="77777777" w:rsidTr="005D1419">
        <w:tblPrEx>
          <w:jc w:val="left"/>
          <w:tblCellMar>
            <w:left w:w="108" w:type="dxa"/>
            <w:right w:w="108" w:type="dxa"/>
          </w:tblCellMar>
          <w:tblLook w:val="04A0" w:firstRow="1" w:lastRow="0" w:firstColumn="1" w:lastColumn="0" w:noHBand="0" w:noVBand="1"/>
        </w:tblPrEx>
        <w:trPr>
          <w:trHeight w:val="553"/>
        </w:trPr>
        <w:tc>
          <w:tcPr>
            <w:tcW w:w="1843" w:type="dxa"/>
            <w:shd w:val="clear" w:color="auto" w:fill="auto"/>
            <w:vAlign w:val="center"/>
          </w:tcPr>
          <w:p w14:paraId="58545412"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Wyposażenie multimedialne</w:t>
            </w:r>
          </w:p>
        </w:tc>
        <w:tc>
          <w:tcPr>
            <w:tcW w:w="8505" w:type="dxa"/>
            <w:shd w:val="clear" w:color="auto" w:fill="auto"/>
            <w:vAlign w:val="center"/>
          </w:tcPr>
          <w:p w14:paraId="362A1493" w14:textId="77777777" w:rsidR="00804E4F" w:rsidRPr="008C40F0" w:rsidRDefault="00804E4F" w:rsidP="0000142C">
            <w:pPr>
              <w:spacing w:line="276" w:lineRule="auto"/>
              <w:jc w:val="both"/>
              <w:rPr>
                <w:rFonts w:asciiTheme="minorHAnsi" w:hAnsiTheme="minorHAnsi" w:cstheme="minorHAnsi"/>
                <w:b/>
                <w:color w:val="00B050"/>
                <w:sz w:val="20"/>
                <w:szCs w:val="20"/>
              </w:rPr>
            </w:pPr>
            <w:r w:rsidRPr="008C40F0">
              <w:rPr>
                <w:rFonts w:asciiTheme="minorHAnsi" w:hAnsiTheme="minorHAnsi" w:cstheme="minorHAnsi"/>
                <w:bCs/>
                <w:sz w:val="20"/>
                <w:szCs w:val="20"/>
              </w:rPr>
              <w:t>Karta dźwiękowa min. dwukanałowa zintegrowana z płytą główną, zgodna z High Definition, port słuchawek i mikrofonu na przednim panelu.</w:t>
            </w:r>
          </w:p>
        </w:tc>
      </w:tr>
      <w:tr w:rsidR="00804E4F" w:rsidRPr="008C40F0" w14:paraId="0D11D18E" w14:textId="77777777" w:rsidTr="005D1419">
        <w:tblPrEx>
          <w:jc w:val="left"/>
          <w:tblCellMar>
            <w:left w:w="108" w:type="dxa"/>
            <w:right w:w="108" w:type="dxa"/>
          </w:tblCellMar>
          <w:tblLook w:val="04A0" w:firstRow="1" w:lastRow="0" w:firstColumn="1" w:lastColumn="0" w:noHBand="0" w:noVBand="1"/>
        </w:tblPrEx>
        <w:trPr>
          <w:trHeight w:val="360"/>
        </w:trPr>
        <w:tc>
          <w:tcPr>
            <w:tcW w:w="1843" w:type="dxa"/>
            <w:shd w:val="clear" w:color="auto" w:fill="auto"/>
            <w:vAlign w:val="center"/>
          </w:tcPr>
          <w:p w14:paraId="27B92FEA" w14:textId="77777777" w:rsidR="00804E4F" w:rsidRPr="008C40F0" w:rsidRDefault="00804E4F" w:rsidP="0000142C">
            <w:pPr>
              <w:spacing w:line="276" w:lineRule="auto"/>
              <w:jc w:val="both"/>
              <w:rPr>
                <w:rFonts w:asciiTheme="minorHAnsi" w:hAnsiTheme="minorHAnsi" w:cstheme="minorHAnsi"/>
                <w:b/>
                <w:sz w:val="20"/>
                <w:szCs w:val="20"/>
              </w:rPr>
            </w:pPr>
            <w:r>
              <w:rPr>
                <w:rFonts w:asciiTheme="minorHAnsi" w:hAnsiTheme="minorHAnsi" w:cstheme="minorHAnsi"/>
                <w:b/>
                <w:sz w:val="20"/>
                <w:szCs w:val="20"/>
              </w:rPr>
              <w:t>Napęd optyczny</w:t>
            </w:r>
          </w:p>
        </w:tc>
        <w:tc>
          <w:tcPr>
            <w:tcW w:w="8505" w:type="dxa"/>
            <w:shd w:val="clear" w:color="auto" w:fill="auto"/>
            <w:vAlign w:val="center"/>
          </w:tcPr>
          <w:p w14:paraId="066FE0DA" w14:textId="77777777" w:rsidR="00804E4F" w:rsidRPr="008C40F0" w:rsidRDefault="00804E4F" w:rsidP="0000142C">
            <w:pPr>
              <w:shd w:val="clear" w:color="auto" w:fill="FFFFFF" w:themeFill="background1"/>
              <w:spacing w:line="276" w:lineRule="auto"/>
              <w:ind w:right="102" w:firstLine="5"/>
              <w:jc w:val="both"/>
              <w:rPr>
                <w:rFonts w:asciiTheme="minorHAnsi" w:hAnsiTheme="minorHAnsi" w:cstheme="minorHAnsi"/>
                <w:sz w:val="20"/>
                <w:szCs w:val="20"/>
              </w:rPr>
            </w:pPr>
            <w:r>
              <w:rPr>
                <w:rFonts w:asciiTheme="minorHAnsi" w:hAnsiTheme="minorHAnsi" w:cstheme="minorHAnsi"/>
                <w:sz w:val="20"/>
                <w:szCs w:val="20"/>
              </w:rPr>
              <w:t>Bez napędu optycznego. Ze względów bezpieczeństwa Zamawiający nie dopuszcza napędu z opcją nagrywania.</w:t>
            </w:r>
          </w:p>
        </w:tc>
      </w:tr>
      <w:tr w:rsidR="00804E4F" w:rsidRPr="008C40F0" w14:paraId="288FDE2C" w14:textId="77777777" w:rsidTr="005D1419">
        <w:tblPrEx>
          <w:jc w:val="left"/>
          <w:tblCellMar>
            <w:left w:w="108" w:type="dxa"/>
            <w:right w:w="108" w:type="dxa"/>
          </w:tblCellMar>
          <w:tblLook w:val="04A0" w:firstRow="1" w:lastRow="0" w:firstColumn="1" w:lastColumn="0" w:noHBand="0" w:noVBand="1"/>
        </w:tblPrEx>
        <w:trPr>
          <w:trHeight w:val="1540"/>
        </w:trPr>
        <w:tc>
          <w:tcPr>
            <w:tcW w:w="1843" w:type="dxa"/>
            <w:shd w:val="clear" w:color="auto" w:fill="auto"/>
            <w:vAlign w:val="center"/>
          </w:tcPr>
          <w:p w14:paraId="7FA0FD90"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Porty obudowy wbudowane</w:t>
            </w:r>
          </w:p>
        </w:tc>
        <w:tc>
          <w:tcPr>
            <w:tcW w:w="8505" w:type="dxa"/>
            <w:shd w:val="clear" w:color="auto" w:fill="auto"/>
            <w:vAlign w:val="center"/>
          </w:tcPr>
          <w:p w14:paraId="5E2C7A5E" w14:textId="77777777" w:rsidR="00804E4F" w:rsidRDefault="00804E4F" w:rsidP="0000142C">
            <w:pPr>
              <w:shd w:val="clear" w:color="auto" w:fill="FFFFFF" w:themeFill="background1"/>
              <w:spacing w:line="276" w:lineRule="auto"/>
              <w:ind w:right="102" w:firstLine="5"/>
              <w:jc w:val="both"/>
              <w:rPr>
                <w:rFonts w:asciiTheme="minorHAnsi" w:hAnsiTheme="minorHAnsi" w:cstheme="minorHAnsi"/>
                <w:sz w:val="20"/>
                <w:szCs w:val="20"/>
              </w:rPr>
            </w:pPr>
            <w:r w:rsidRPr="008C40F0">
              <w:rPr>
                <w:rFonts w:asciiTheme="minorHAnsi" w:hAnsiTheme="minorHAnsi" w:cstheme="minorHAnsi"/>
                <w:sz w:val="20"/>
                <w:szCs w:val="20"/>
              </w:rPr>
              <w:t xml:space="preserve">Przód obudowy: </w:t>
            </w:r>
          </w:p>
          <w:p w14:paraId="6B5F4821" w14:textId="77777777" w:rsidR="00804E4F" w:rsidRPr="008C40F0" w:rsidRDefault="00804E4F" w:rsidP="0000142C">
            <w:pPr>
              <w:shd w:val="clear" w:color="auto" w:fill="FFFFFF" w:themeFill="background1"/>
              <w:spacing w:line="276" w:lineRule="auto"/>
              <w:ind w:right="102" w:firstLine="5"/>
              <w:jc w:val="both"/>
              <w:rPr>
                <w:rFonts w:asciiTheme="minorHAnsi" w:hAnsiTheme="minorHAnsi" w:cstheme="minorHAnsi"/>
                <w:sz w:val="20"/>
                <w:szCs w:val="20"/>
              </w:rPr>
            </w:pPr>
            <w:r w:rsidRPr="008C40F0">
              <w:rPr>
                <w:rFonts w:asciiTheme="minorHAnsi" w:hAnsiTheme="minorHAnsi" w:cstheme="minorHAnsi"/>
                <w:sz w:val="20"/>
                <w:szCs w:val="20"/>
              </w:rPr>
              <w:t xml:space="preserve">minimum 4 porty USB, w tym min. 2 porty USB 3.2 Gen1 lub szybsze; gniazda audio do podłączenia słuchawek/głośników i mikrofonu (dopuszcza się 1 gniazdo typu </w:t>
            </w:r>
            <w:proofErr w:type="spellStart"/>
            <w:r w:rsidRPr="008C40F0">
              <w:rPr>
                <w:rFonts w:asciiTheme="minorHAnsi" w:hAnsiTheme="minorHAnsi" w:cstheme="minorHAnsi"/>
                <w:sz w:val="20"/>
                <w:szCs w:val="20"/>
              </w:rPr>
              <w:t>combo</w:t>
            </w:r>
            <w:proofErr w:type="spellEnd"/>
            <w:r w:rsidRPr="008C40F0">
              <w:rPr>
                <w:rFonts w:asciiTheme="minorHAnsi" w:hAnsiTheme="minorHAnsi" w:cstheme="minorHAnsi"/>
                <w:sz w:val="20"/>
                <w:szCs w:val="20"/>
              </w:rPr>
              <w:t>).</w:t>
            </w:r>
          </w:p>
          <w:p w14:paraId="415F0DFA" w14:textId="77777777" w:rsidR="00804E4F"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xml:space="preserve">Tył obudowy: </w:t>
            </w:r>
          </w:p>
          <w:p w14:paraId="76A8108D" w14:textId="77777777" w:rsidR="00804E4F" w:rsidRPr="008C40F0" w:rsidRDefault="00804E4F" w:rsidP="0000142C">
            <w:pPr>
              <w:spacing w:line="276" w:lineRule="auto"/>
              <w:jc w:val="both"/>
              <w:rPr>
                <w:rFonts w:asciiTheme="minorHAnsi" w:hAnsiTheme="minorHAnsi" w:cstheme="minorHAnsi"/>
                <w:bCs/>
                <w:color w:val="000000" w:themeColor="text1"/>
                <w:sz w:val="20"/>
                <w:szCs w:val="20"/>
              </w:rPr>
            </w:pPr>
            <w:r w:rsidRPr="008C40F0">
              <w:rPr>
                <w:rFonts w:asciiTheme="minorHAnsi" w:hAnsiTheme="minorHAnsi" w:cstheme="minorHAnsi"/>
                <w:sz w:val="20"/>
                <w:szCs w:val="20"/>
              </w:rPr>
              <w:t xml:space="preserve">minimum 6 portów USB, w tym min. 2 porty USB 3.2 Gen 2 lub szybsze, min. 2 porty USB 3.2 Gen1 lub szybsze oraz min. 2 porty USB 2.0 lub szybsze; gniazdo audio do podłączenia słuchawek/głośników (dopuszcza się gniazdo typu </w:t>
            </w:r>
            <w:proofErr w:type="spellStart"/>
            <w:r w:rsidRPr="008C40F0">
              <w:rPr>
                <w:rFonts w:asciiTheme="minorHAnsi" w:hAnsiTheme="minorHAnsi" w:cstheme="minorHAnsi"/>
                <w:sz w:val="20"/>
                <w:szCs w:val="20"/>
              </w:rPr>
              <w:t>combo</w:t>
            </w:r>
            <w:proofErr w:type="spellEnd"/>
            <w:r w:rsidRPr="008C40F0">
              <w:rPr>
                <w:rFonts w:asciiTheme="minorHAnsi" w:hAnsiTheme="minorHAnsi" w:cstheme="minorHAnsi"/>
                <w:sz w:val="20"/>
                <w:szCs w:val="20"/>
              </w:rPr>
              <w:t xml:space="preserve">); 1 wyjście cyfrowe </w:t>
            </w:r>
            <w:proofErr w:type="spellStart"/>
            <w:r w:rsidRPr="008C40F0">
              <w:rPr>
                <w:rFonts w:asciiTheme="minorHAnsi" w:hAnsiTheme="minorHAnsi" w:cstheme="minorHAnsi"/>
                <w:sz w:val="20"/>
                <w:szCs w:val="20"/>
              </w:rPr>
              <w:t>DisplayPort</w:t>
            </w:r>
            <w:proofErr w:type="spellEnd"/>
            <w:r w:rsidRPr="008C40F0">
              <w:rPr>
                <w:rFonts w:asciiTheme="minorHAnsi" w:hAnsiTheme="minorHAnsi" w:cstheme="minorHAnsi"/>
                <w:sz w:val="20"/>
                <w:szCs w:val="20"/>
              </w:rPr>
              <w:t xml:space="preserve">; 1 wyjście cyfrowe </w:t>
            </w:r>
            <w:proofErr w:type="spellStart"/>
            <w:r w:rsidRPr="008C40F0">
              <w:rPr>
                <w:rFonts w:asciiTheme="minorHAnsi" w:hAnsiTheme="minorHAnsi" w:cstheme="minorHAnsi"/>
                <w:sz w:val="20"/>
                <w:szCs w:val="20"/>
              </w:rPr>
              <w:t>DisplayPort</w:t>
            </w:r>
            <w:proofErr w:type="spellEnd"/>
            <w:r w:rsidRPr="008C40F0">
              <w:rPr>
                <w:rFonts w:asciiTheme="minorHAnsi" w:hAnsiTheme="minorHAnsi" w:cstheme="minorHAnsi"/>
                <w:sz w:val="20"/>
                <w:szCs w:val="20"/>
              </w:rPr>
              <w:t xml:space="preserve"> lub HDMI; 1 gniazdo Ethernet RJ45.</w:t>
            </w:r>
          </w:p>
        </w:tc>
      </w:tr>
      <w:tr w:rsidR="00804E4F" w:rsidRPr="008C40F0" w14:paraId="4A96B941" w14:textId="77777777" w:rsidTr="005D1419">
        <w:tblPrEx>
          <w:jc w:val="left"/>
          <w:tblCellMar>
            <w:left w:w="108" w:type="dxa"/>
            <w:right w:w="108" w:type="dxa"/>
          </w:tblCellMar>
          <w:tblLook w:val="04A0" w:firstRow="1" w:lastRow="0" w:firstColumn="1" w:lastColumn="0" w:noHBand="0" w:noVBand="1"/>
        </w:tblPrEx>
        <w:trPr>
          <w:trHeight w:val="2344"/>
        </w:trPr>
        <w:tc>
          <w:tcPr>
            <w:tcW w:w="1843" w:type="dxa"/>
            <w:shd w:val="clear" w:color="auto" w:fill="auto"/>
            <w:vAlign w:val="center"/>
          </w:tcPr>
          <w:p w14:paraId="324AF5A8"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Obudowa</w:t>
            </w:r>
          </w:p>
        </w:tc>
        <w:tc>
          <w:tcPr>
            <w:tcW w:w="8505" w:type="dxa"/>
            <w:shd w:val="clear" w:color="auto" w:fill="auto"/>
            <w:vAlign w:val="center"/>
          </w:tcPr>
          <w:p w14:paraId="00BF064D"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Typu Tower fabrycznie przystosowana do pracy w układzie pionowym z min. 1 kieszenią zewnętrzną 5,25” (dopuszcza się SLIM) umożliwiającą montaż wewnętrznego napędu optycznego DVD ze złączem SATA.</w:t>
            </w:r>
          </w:p>
          <w:p w14:paraId="3B616A66"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Obudowa powinna fabrycznie umożliwiać montaż kart rozszerzeń o pełnej wysokości we wszystkich złączach PCI Express.</w:t>
            </w:r>
          </w:p>
          <w:p w14:paraId="233BAE43"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eastAsia="Arial" w:hAnsiTheme="minorHAnsi" w:cstheme="minorHAnsi"/>
                <w:sz w:val="20"/>
                <w:szCs w:val="20"/>
              </w:rPr>
              <w:t xml:space="preserve">Obudowa musi fabrycznie umożliwiać montaż wewnątrz i użytkowanie jednocześnie co najmniej 3 dysków SATA 3,5” (podłączonych poprzez dedykowane złącza SATA na płycie głównej) oraz co najmniej 2 dysków SSD M.2 </w:t>
            </w:r>
            <w:proofErr w:type="spellStart"/>
            <w:r w:rsidRPr="008C40F0">
              <w:rPr>
                <w:rFonts w:asciiTheme="minorHAnsi" w:eastAsia="Arial" w:hAnsiTheme="minorHAnsi" w:cstheme="minorHAnsi"/>
                <w:sz w:val="20"/>
                <w:szCs w:val="20"/>
              </w:rPr>
              <w:t>NVMe</w:t>
            </w:r>
            <w:proofErr w:type="spellEnd"/>
            <w:r w:rsidRPr="008C40F0">
              <w:rPr>
                <w:rFonts w:asciiTheme="minorHAnsi" w:eastAsia="Arial" w:hAnsiTheme="minorHAnsi" w:cstheme="minorHAnsi"/>
                <w:sz w:val="20"/>
                <w:szCs w:val="20"/>
              </w:rPr>
              <w:t xml:space="preserve"> (podłączonych poprzez dedykowane złącza M.2 </w:t>
            </w:r>
            <w:proofErr w:type="spellStart"/>
            <w:r w:rsidRPr="008C40F0">
              <w:rPr>
                <w:rFonts w:asciiTheme="minorHAnsi" w:eastAsia="Arial" w:hAnsiTheme="minorHAnsi" w:cstheme="minorHAnsi"/>
                <w:sz w:val="20"/>
                <w:szCs w:val="20"/>
              </w:rPr>
              <w:t>NVMe</w:t>
            </w:r>
            <w:proofErr w:type="spellEnd"/>
            <w:r w:rsidRPr="008C40F0">
              <w:rPr>
                <w:rFonts w:asciiTheme="minorHAnsi" w:eastAsia="Arial" w:hAnsiTheme="minorHAnsi" w:cstheme="minorHAnsi"/>
                <w:sz w:val="20"/>
                <w:szCs w:val="20"/>
              </w:rPr>
              <w:t xml:space="preserve"> na płycie głównej), w tym w szczególności komputer musi być dostarczony z kompletem niezbędnych elementów montażowych do 3 dysków SATA 3,5” oraz 2 dysków SSD M.2 </w:t>
            </w:r>
            <w:proofErr w:type="spellStart"/>
            <w:r w:rsidRPr="008C40F0">
              <w:rPr>
                <w:rFonts w:asciiTheme="minorHAnsi" w:eastAsia="Arial" w:hAnsiTheme="minorHAnsi" w:cstheme="minorHAnsi"/>
                <w:sz w:val="20"/>
                <w:szCs w:val="20"/>
              </w:rPr>
              <w:t>NVMe</w:t>
            </w:r>
            <w:proofErr w:type="spellEnd"/>
            <w:r w:rsidRPr="008C40F0">
              <w:rPr>
                <w:rFonts w:asciiTheme="minorHAnsi" w:eastAsia="Arial" w:hAnsiTheme="minorHAnsi" w:cstheme="minorHAnsi"/>
                <w:sz w:val="20"/>
                <w:szCs w:val="20"/>
              </w:rPr>
              <w:t xml:space="preserve"> takich jak ramki, okablowanie itp. Obudowa musi ponadto fabrycznie umożliwiać montaż wewnątrz i użytkowanie jednocześnie co najmniej 4 dysków SATA 2,5” (podłączonych poprzez dedykowane złącza SATA na płycie głównej) zamiast 2 z 3 dysków SATA 3,5” wymienionych w poprzednim zdaniu.</w:t>
            </w:r>
          </w:p>
          <w:p w14:paraId="43991229"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Moduł konstrukcji obudowy komputera powinien pozwalać na demontaż kart rozszerzeń, napędu optycznego i 3,5” oraz 2,5” dysku twardego bez konieczności użycia narzędzi (nie dotyczy to urządzeń montowanych w złączach M.2).</w:t>
            </w:r>
          </w:p>
          <w:p w14:paraId="625A9638"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xml:space="preserve">Obudowa otwierana bez konieczności użycia narzędzi (dopuszcza się użycie śrub radełkowanych) oraz wyposażona w czujnik otwarcia obudowy współpracujący z oprogramowaniem zarządzająco </w:t>
            </w:r>
            <w:r w:rsidRPr="008C40F0">
              <w:rPr>
                <w:rFonts w:asciiTheme="minorHAnsi" w:hAnsiTheme="minorHAnsi" w:cstheme="minorHAnsi"/>
                <w:bCs/>
                <w:sz w:val="20"/>
                <w:szCs w:val="20"/>
              </w:rPr>
              <w:br/>
              <w:t>– diagnostycznym.</w:t>
            </w:r>
          </w:p>
          <w:p w14:paraId="4841CEB1"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Obudowa umożliwia zastosowanie zabezpieczenia fizycznego</w:t>
            </w:r>
            <w:r>
              <w:rPr>
                <w:rFonts w:asciiTheme="minorHAnsi" w:hAnsiTheme="minorHAnsi" w:cstheme="minorHAnsi"/>
                <w:bCs/>
                <w:sz w:val="20"/>
                <w:szCs w:val="20"/>
              </w:rPr>
              <w:t xml:space="preserve"> </w:t>
            </w:r>
            <w:r w:rsidRPr="008C40F0">
              <w:rPr>
                <w:rFonts w:asciiTheme="minorHAnsi" w:hAnsiTheme="minorHAnsi" w:cstheme="minorHAnsi"/>
                <w:bCs/>
                <w:sz w:val="20"/>
                <w:szCs w:val="20"/>
              </w:rPr>
              <w:t>w postaci linki metalowej (złącze blokady) oraz kłódki (oczko w obudowie do założenia kłódki).</w:t>
            </w:r>
          </w:p>
          <w:p w14:paraId="1FA328CE"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W celu szybkiej weryfikacji usterek, w obudowę komputera na panelu przednim wbudowany wizualny system diagnostyczny, służący do sygnalizowania i diagnozowania problemów</w:t>
            </w:r>
            <w:r>
              <w:rPr>
                <w:rFonts w:asciiTheme="minorHAnsi" w:hAnsiTheme="minorHAnsi" w:cstheme="minorHAnsi"/>
                <w:bCs/>
                <w:sz w:val="20"/>
                <w:szCs w:val="20"/>
              </w:rPr>
              <w:t xml:space="preserve"> </w:t>
            </w:r>
            <w:r w:rsidRPr="008C40F0">
              <w:rPr>
                <w:rFonts w:asciiTheme="minorHAnsi" w:hAnsiTheme="minorHAnsi" w:cstheme="minorHAnsi"/>
                <w:bCs/>
                <w:sz w:val="20"/>
                <w:szCs w:val="20"/>
              </w:rPr>
              <w:t>z komputerem i jego komponentami; system w szczególności ma sygnalizować:</w:t>
            </w:r>
          </w:p>
          <w:p w14:paraId="51612BC5"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lastRenderedPageBreak/>
              <w:t>- awarię BIOS-u;</w:t>
            </w:r>
          </w:p>
          <w:p w14:paraId="17D9029B"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awarię procesora;</w:t>
            </w:r>
          </w:p>
          <w:p w14:paraId="7B45A635"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uszkodzenie lub brak pamięci RAM;</w:t>
            </w:r>
          </w:p>
          <w:p w14:paraId="3A063E68"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awarię kontrolera video;</w:t>
            </w:r>
          </w:p>
          <w:p w14:paraId="1C94FF10"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awarię płyty głównej.</w:t>
            </w:r>
          </w:p>
          <w:p w14:paraId="1B09D624"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xml:space="preserve">Oferowany system diagnostyczny nie może wykorzystywać minimalnej ilości wolnych slotów na płycie głównej, wymaganych </w:t>
            </w:r>
            <w:r w:rsidRPr="008C40F0">
              <w:rPr>
                <w:rFonts w:asciiTheme="minorHAnsi" w:hAnsiTheme="minorHAnsi" w:cstheme="minorHAnsi"/>
                <w:bCs/>
                <w:sz w:val="20"/>
                <w:szCs w:val="20"/>
              </w:rPr>
              <w:br/>
              <w:t>w specyfikacji wnęk zewnętrznych oraz nie może być uzyskany przez konwertowanie lub przerabianie innych złączy na płycie głównej bądź niewymienionych w specyfikacji, a które nie są dedykowane dla systemu diagnostycznego. System ma być bezpośrednio połączony z płytą główną przez dedykowane dla niego złącze. Wymagane podanie linku do strony internetowej producenta z opisem występujących błędów.</w:t>
            </w:r>
          </w:p>
          <w:p w14:paraId="6368E7EF"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sz w:val="20"/>
                <w:szCs w:val="20"/>
              </w:rPr>
              <w:t>Wbudowany zasilacz o mocy (ciągłej) minimalnie 500W pracujący</w:t>
            </w:r>
            <w:r>
              <w:rPr>
                <w:rFonts w:asciiTheme="minorHAnsi" w:hAnsiTheme="minorHAnsi" w:cstheme="minorHAnsi"/>
                <w:sz w:val="20"/>
                <w:szCs w:val="20"/>
              </w:rPr>
              <w:t xml:space="preserve"> </w:t>
            </w:r>
            <w:r w:rsidRPr="008C40F0">
              <w:rPr>
                <w:rFonts w:asciiTheme="minorHAnsi" w:hAnsiTheme="minorHAnsi" w:cstheme="minorHAnsi"/>
                <w:sz w:val="20"/>
                <w:szCs w:val="20"/>
              </w:rPr>
              <w:t xml:space="preserve">w sieci 230V 50/60 </w:t>
            </w:r>
            <w:proofErr w:type="spellStart"/>
            <w:r w:rsidRPr="008C40F0">
              <w:rPr>
                <w:rFonts w:asciiTheme="minorHAnsi" w:hAnsiTheme="minorHAnsi" w:cstheme="minorHAnsi"/>
                <w:sz w:val="20"/>
                <w:szCs w:val="20"/>
              </w:rPr>
              <w:t>Hz</w:t>
            </w:r>
            <w:proofErr w:type="spellEnd"/>
            <w:r w:rsidRPr="008C40F0">
              <w:rPr>
                <w:rFonts w:asciiTheme="minorHAnsi" w:hAnsiTheme="minorHAnsi" w:cstheme="minorHAnsi"/>
                <w:sz w:val="20"/>
                <w:szCs w:val="20"/>
              </w:rPr>
              <w:t xml:space="preserve"> prądu zmiennego i o sprawności nie mniej niż 90% przy 50% obciążeniu zasilacza.</w:t>
            </w:r>
          </w:p>
        </w:tc>
      </w:tr>
      <w:tr w:rsidR="00804E4F" w:rsidRPr="008C40F0" w14:paraId="61C1C83C" w14:textId="77777777" w:rsidTr="005D1419">
        <w:tblPrEx>
          <w:jc w:val="left"/>
          <w:tblCellMar>
            <w:left w:w="108" w:type="dxa"/>
            <w:right w:w="108" w:type="dxa"/>
          </w:tblCellMar>
          <w:tblLook w:val="04A0" w:firstRow="1" w:lastRow="0" w:firstColumn="1" w:lastColumn="0" w:noHBand="0" w:noVBand="1"/>
        </w:tblPrEx>
        <w:trPr>
          <w:trHeight w:val="2344"/>
        </w:trPr>
        <w:tc>
          <w:tcPr>
            <w:tcW w:w="1843" w:type="dxa"/>
            <w:shd w:val="clear" w:color="auto" w:fill="auto"/>
            <w:vAlign w:val="center"/>
          </w:tcPr>
          <w:p w14:paraId="134DCF01"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lastRenderedPageBreak/>
              <w:t>Bezpieczeństwo</w:t>
            </w:r>
          </w:p>
        </w:tc>
        <w:tc>
          <w:tcPr>
            <w:tcW w:w="8505" w:type="dxa"/>
            <w:shd w:val="clear" w:color="auto" w:fill="auto"/>
            <w:vAlign w:val="center"/>
          </w:tcPr>
          <w:p w14:paraId="2B0B0B6B" w14:textId="5A9BDB59"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8C40F0">
              <w:rPr>
                <w:rFonts w:asciiTheme="minorHAnsi" w:hAnsiTheme="minorHAnsi" w:cstheme="minorHAnsi"/>
                <w:bCs/>
                <w:sz w:val="20"/>
                <w:szCs w:val="20"/>
              </w:rPr>
              <w:t>flash</w:t>
            </w:r>
            <w:proofErr w:type="spellEnd"/>
            <w:r w:rsidRPr="008C40F0">
              <w:rPr>
                <w:rFonts w:asciiTheme="minorHAnsi" w:hAnsiTheme="minorHAnsi" w:cstheme="minorHAnsi"/>
                <w:bCs/>
                <w:sz w:val="20"/>
                <w:szCs w:val="20"/>
              </w:rPr>
              <w:t xml:space="preserve"> co BIOS, dostępny z poziomu szybkiego menu </w:t>
            </w:r>
            <w:proofErr w:type="spellStart"/>
            <w:r w:rsidRPr="008C40F0">
              <w:rPr>
                <w:rFonts w:asciiTheme="minorHAnsi" w:hAnsiTheme="minorHAnsi" w:cstheme="minorHAnsi"/>
                <w:bCs/>
                <w:sz w:val="20"/>
                <w:szCs w:val="20"/>
              </w:rPr>
              <w:t>boot</w:t>
            </w:r>
            <w:proofErr w:type="spellEnd"/>
            <w:r w:rsidRPr="008C40F0">
              <w:rPr>
                <w:rFonts w:asciiTheme="minorHAnsi" w:hAnsiTheme="minorHAnsi" w:cstheme="minorHAnsi"/>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r w:rsidR="00C4653D" w:rsidRPr="008C40F0">
              <w:rPr>
                <w:rFonts w:asciiTheme="minorHAnsi" w:hAnsiTheme="minorHAnsi" w:cstheme="minorHAnsi"/>
                <w:bCs/>
                <w:sz w:val="20"/>
                <w:szCs w:val="20"/>
              </w:rPr>
              <w:t>Internetu</w:t>
            </w:r>
            <w:r w:rsidRPr="008C40F0">
              <w:rPr>
                <w:rFonts w:asciiTheme="minorHAnsi" w:hAnsiTheme="minorHAnsi" w:cstheme="minorHAnsi"/>
                <w:bCs/>
                <w:sz w:val="20"/>
                <w:szCs w:val="20"/>
              </w:rPr>
              <w:t xml:space="preserve"> i sieci lokalnej.</w:t>
            </w:r>
          </w:p>
        </w:tc>
      </w:tr>
      <w:tr w:rsidR="00804E4F" w:rsidRPr="008C40F0" w14:paraId="531224B9"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622B80C2"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BIOS</w:t>
            </w:r>
          </w:p>
        </w:tc>
        <w:tc>
          <w:tcPr>
            <w:tcW w:w="8505" w:type="dxa"/>
            <w:shd w:val="clear" w:color="auto" w:fill="auto"/>
            <w:vAlign w:val="center"/>
          </w:tcPr>
          <w:p w14:paraId="39F77FF3"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BIOS zgodny ze specyfikacją UEFI, wyprodukowany przez producenta komputera, zawierający logo producenta komputera lub nazwę producenta komputera lub nazwę modelu oferowanego komputera.</w:t>
            </w:r>
          </w:p>
          <w:p w14:paraId="66F44F36"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Pełna obsługa BIOS za pomocą klawiatury lub myszy.</w:t>
            </w:r>
          </w:p>
          <w:p w14:paraId="458FC4D3"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Możliwość założenia hasła startowego („Power On”) oraz hasła administratora na dostęp do BIOS (Setup).</w:t>
            </w:r>
          </w:p>
          <w:p w14:paraId="377EB64F"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Możliwość odczytania bezpośrednio z BIOS (bez uruchamiania systemu operacyjnego z dysku twardego komputera lub innych podłączonych do niego urządzeń zewnętrznych) informacji o:</w:t>
            </w:r>
          </w:p>
          <w:p w14:paraId="1324BE82"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a) wersji BIOS;</w:t>
            </w:r>
          </w:p>
          <w:p w14:paraId="03AD317C"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b) dacie produkcji BIOS lub dacie produkcji komputera;</w:t>
            </w:r>
          </w:p>
          <w:p w14:paraId="265014A0"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c) numerze seryjnym komputera;</w:t>
            </w:r>
          </w:p>
          <w:p w14:paraId="693408E7"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d) ilości pamięci RAM, częstotliwości taktowania, technologii wykonania pamięci;</w:t>
            </w:r>
          </w:p>
          <w:p w14:paraId="0C466A66"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e) typie procesora;</w:t>
            </w:r>
          </w:p>
          <w:p w14:paraId="046C94CA"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f) pojemności zainstalowanego dysku lub modelu dysku oraz napędu optycznego;</w:t>
            </w:r>
          </w:p>
          <w:p w14:paraId="5494B2AB"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g) adresie MAC zintegrowanej karty sieciowej.</w:t>
            </w:r>
          </w:p>
          <w:p w14:paraId="6797272E"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Możliwość ustawienia blokady portów USB w BIOS.</w:t>
            </w:r>
          </w:p>
          <w:p w14:paraId="2CC7007B"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Możliwość ustawienia sekwencji rozruchu (</w:t>
            </w:r>
            <w:proofErr w:type="spellStart"/>
            <w:r w:rsidRPr="008C40F0">
              <w:rPr>
                <w:rFonts w:asciiTheme="minorHAnsi" w:hAnsiTheme="minorHAnsi" w:cstheme="minorHAnsi"/>
                <w:bCs/>
                <w:sz w:val="20"/>
                <w:szCs w:val="20"/>
              </w:rPr>
              <w:t>boot</w:t>
            </w:r>
            <w:proofErr w:type="spellEnd"/>
            <w:r w:rsidRPr="008C40F0">
              <w:rPr>
                <w:rFonts w:asciiTheme="minorHAnsi" w:hAnsiTheme="minorHAnsi" w:cstheme="minorHAnsi"/>
                <w:bCs/>
                <w:sz w:val="20"/>
                <w:szCs w:val="20"/>
              </w:rPr>
              <w:t xml:space="preserve"> order).</w:t>
            </w:r>
          </w:p>
          <w:p w14:paraId="696A3052"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Możliwość startu systemu z urządzenia USB.</w:t>
            </w:r>
          </w:p>
          <w:p w14:paraId="29CC9820"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Możliwość blokady startu systemu z urządzeń USB lub napędów optycznych (jeśli występuje).</w:t>
            </w:r>
          </w:p>
          <w:p w14:paraId="28F4D167" w14:textId="77777777" w:rsidR="00804E4F" w:rsidRPr="008C40F0" w:rsidRDefault="00804E4F" w:rsidP="0000142C">
            <w:pPr>
              <w:widowControl w:val="0"/>
              <w:autoSpaceDE w:val="0"/>
              <w:autoSpaceDN w:val="0"/>
              <w:adjustRightInd w:val="0"/>
              <w:spacing w:line="276" w:lineRule="auto"/>
              <w:ind w:right="50"/>
              <w:jc w:val="both"/>
              <w:rPr>
                <w:rFonts w:asciiTheme="minorHAnsi" w:hAnsiTheme="minorHAnsi" w:cstheme="minorHAnsi"/>
                <w:bCs/>
                <w:sz w:val="20"/>
                <w:szCs w:val="20"/>
              </w:rPr>
            </w:pPr>
            <w:r w:rsidRPr="008C40F0">
              <w:rPr>
                <w:rFonts w:asciiTheme="minorHAnsi" w:hAnsiTheme="minorHAnsi" w:cstheme="minorHAnsi"/>
                <w:bCs/>
                <w:sz w:val="20"/>
                <w:szCs w:val="20"/>
              </w:rPr>
              <w:t>Wszystkie ww. funkcjonalności muszą być dostępne także w przypadku braku lub uszkodzenia dysku twardego.</w:t>
            </w:r>
          </w:p>
        </w:tc>
      </w:tr>
      <w:tr w:rsidR="00804E4F" w:rsidRPr="008C40F0" w14:paraId="7C908B83"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7A17B1E8"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Wirtualizacja</w:t>
            </w:r>
          </w:p>
        </w:tc>
        <w:tc>
          <w:tcPr>
            <w:tcW w:w="8505" w:type="dxa"/>
            <w:shd w:val="clear" w:color="auto" w:fill="auto"/>
            <w:vAlign w:val="center"/>
          </w:tcPr>
          <w:p w14:paraId="7A111647" w14:textId="7766B3F0"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sz w:val="20"/>
                <w:szCs w:val="20"/>
              </w:rPr>
              <w:t xml:space="preserve">Sprzętowe wsparcie </w:t>
            </w:r>
            <w:r w:rsidR="00C4653D" w:rsidRPr="008C40F0">
              <w:rPr>
                <w:rFonts w:asciiTheme="minorHAnsi" w:hAnsiTheme="minorHAnsi" w:cstheme="minorHAnsi"/>
                <w:sz w:val="20"/>
                <w:szCs w:val="20"/>
              </w:rPr>
              <w:t>technologii</w:t>
            </w:r>
            <w:r w:rsidRPr="008C40F0">
              <w:rPr>
                <w:rFonts w:asciiTheme="minorHAnsi" w:hAnsiTheme="minorHAnsi" w:cstheme="minorHAnsi"/>
                <w:sz w:val="20"/>
                <w:szCs w:val="20"/>
              </w:rPr>
              <w:t xml:space="preserve"> wirtualizacji realizowane łącznie w procesorze, chipsecie płyty głów</w:t>
            </w:r>
            <w:r w:rsidR="002922C9">
              <w:rPr>
                <w:rFonts w:asciiTheme="minorHAnsi" w:hAnsiTheme="minorHAnsi" w:cstheme="minorHAnsi"/>
                <w:sz w:val="20"/>
                <w:szCs w:val="20"/>
              </w:rPr>
              <w:t>n</w:t>
            </w:r>
            <w:r w:rsidRPr="008C40F0">
              <w:rPr>
                <w:rFonts w:asciiTheme="minorHAnsi" w:hAnsiTheme="minorHAnsi" w:cstheme="minorHAnsi"/>
                <w:sz w:val="20"/>
                <w:szCs w:val="20"/>
              </w:rPr>
              <w:t>ej oraz w  BIOS systemu (możliwość włączenia/wyłączenia sprzętowego wsparcia wirtualizacji dla poszczególnych komponentów systemu).</w:t>
            </w:r>
          </w:p>
        </w:tc>
      </w:tr>
      <w:tr w:rsidR="00804E4F" w:rsidRPr="008C40F0" w14:paraId="72A1F1B7" w14:textId="77777777" w:rsidTr="005D1419">
        <w:tblPrEx>
          <w:jc w:val="left"/>
          <w:tblCellMar>
            <w:left w:w="108" w:type="dxa"/>
            <w:right w:w="108" w:type="dxa"/>
          </w:tblCellMar>
          <w:tblLook w:val="04A0" w:firstRow="1" w:lastRow="0" w:firstColumn="1" w:lastColumn="0" w:noHBand="0" w:noVBand="1"/>
        </w:tblPrEx>
        <w:trPr>
          <w:trHeight w:val="785"/>
        </w:trPr>
        <w:tc>
          <w:tcPr>
            <w:tcW w:w="1843" w:type="dxa"/>
            <w:shd w:val="clear" w:color="auto" w:fill="auto"/>
            <w:vAlign w:val="center"/>
          </w:tcPr>
          <w:p w14:paraId="50452C2E"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System operacyjny</w:t>
            </w:r>
          </w:p>
        </w:tc>
        <w:tc>
          <w:tcPr>
            <w:tcW w:w="8505" w:type="dxa"/>
            <w:shd w:val="clear" w:color="auto" w:fill="auto"/>
            <w:vAlign w:val="center"/>
          </w:tcPr>
          <w:p w14:paraId="08BCC9D7"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Zestaw musi posiadać zainstalowany fabrycznie system operacyjny Microsoft Windows 11 Professional 64 bit w wersji językowej polskiej.</w:t>
            </w:r>
          </w:p>
          <w:p w14:paraId="4D97EA83" w14:textId="77777777" w:rsidR="00804E4F" w:rsidRPr="008C40F0" w:rsidRDefault="00804E4F" w:rsidP="0000142C">
            <w:pPr>
              <w:spacing w:line="276" w:lineRule="auto"/>
              <w:jc w:val="both"/>
              <w:rPr>
                <w:rFonts w:asciiTheme="minorHAnsi" w:eastAsia="Arial" w:hAnsiTheme="minorHAnsi" w:cstheme="minorHAnsi"/>
                <w:sz w:val="20"/>
                <w:szCs w:val="20"/>
              </w:rPr>
            </w:pPr>
            <w:r w:rsidRPr="008C40F0">
              <w:rPr>
                <w:rFonts w:asciiTheme="minorHAnsi" w:eastAsia="Arial" w:hAnsiTheme="minorHAnsi" w:cstheme="minorHAnsi"/>
                <w:sz w:val="20"/>
                <w:szCs w:val="20"/>
              </w:rPr>
              <w:t>Zestaw musi być w pełni kompatybilny z systemem operacyjnym Microsoft Windows 11 Professional.</w:t>
            </w:r>
          </w:p>
          <w:p w14:paraId="580C8046"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sz w:val="20"/>
                <w:szCs w:val="20"/>
              </w:rPr>
              <w:lastRenderedPageBreak/>
              <w:t>Klucz licencyjny systemu operacyjnego musi być zapisany trwale w BIOS i umożliwiać instalację systemu operacyjnego na podstawie dołączonego nośnika bezpośrednio z napędu lub zdalnie bez potrzeby ręcznego wpisywania klucza licencyjnego.</w:t>
            </w:r>
          </w:p>
        </w:tc>
      </w:tr>
      <w:tr w:rsidR="00804E4F" w:rsidRPr="008C40F0" w14:paraId="6941342C" w14:textId="77777777" w:rsidTr="005D1419">
        <w:tblPrEx>
          <w:jc w:val="left"/>
          <w:tblCellMar>
            <w:left w:w="108" w:type="dxa"/>
            <w:right w:w="108" w:type="dxa"/>
          </w:tblCellMar>
          <w:tblLook w:val="04A0" w:firstRow="1" w:lastRow="0" w:firstColumn="1" w:lastColumn="0" w:noHBand="0" w:noVBand="1"/>
        </w:tblPrEx>
        <w:trPr>
          <w:trHeight w:val="612"/>
        </w:trPr>
        <w:tc>
          <w:tcPr>
            <w:tcW w:w="1843" w:type="dxa"/>
            <w:shd w:val="clear" w:color="auto" w:fill="auto"/>
            <w:vAlign w:val="center"/>
          </w:tcPr>
          <w:p w14:paraId="49C2F616"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lastRenderedPageBreak/>
              <w:t>Certyfikaty i standardy</w:t>
            </w:r>
          </w:p>
        </w:tc>
        <w:tc>
          <w:tcPr>
            <w:tcW w:w="8505" w:type="dxa"/>
            <w:shd w:val="clear" w:color="auto" w:fill="auto"/>
            <w:vAlign w:val="center"/>
          </w:tcPr>
          <w:p w14:paraId="57678687" w14:textId="77777777" w:rsidR="00804E4F" w:rsidRPr="008C40F0" w:rsidRDefault="00804E4F" w:rsidP="0000142C">
            <w:pPr>
              <w:shd w:val="clear" w:color="auto" w:fill="FFFFFF"/>
              <w:spacing w:line="276" w:lineRule="auto"/>
              <w:ind w:right="102"/>
              <w:jc w:val="both"/>
              <w:rPr>
                <w:rFonts w:asciiTheme="minorHAnsi" w:hAnsiTheme="minorHAnsi" w:cstheme="minorHAnsi"/>
                <w:sz w:val="20"/>
                <w:szCs w:val="20"/>
              </w:rPr>
            </w:pPr>
            <w:r w:rsidRPr="008C40F0">
              <w:rPr>
                <w:rFonts w:asciiTheme="minorHAnsi" w:hAnsiTheme="minorHAnsi" w:cstheme="minorHAnsi"/>
                <w:sz w:val="20"/>
                <w:szCs w:val="20"/>
              </w:rPr>
              <w:t>Certyfikat CE lub deklaracja zgodności.</w:t>
            </w:r>
          </w:p>
          <w:p w14:paraId="39A0CF65"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sz w:val="20"/>
                <w:szCs w:val="20"/>
              </w:rPr>
              <w:t>Certyfikat ISO 9001 i ISO 14001 lub równoważne (dla producenta, obowiązujący w okresie produkcji sprzętu).</w:t>
            </w:r>
          </w:p>
        </w:tc>
      </w:tr>
      <w:tr w:rsidR="00804E4F" w:rsidRPr="008C40F0" w14:paraId="589FFDC1"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057B7E10"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Wsparcie techniczne</w:t>
            </w:r>
          </w:p>
        </w:tc>
        <w:tc>
          <w:tcPr>
            <w:tcW w:w="8505" w:type="dxa"/>
            <w:shd w:val="clear" w:color="auto" w:fill="auto"/>
            <w:vAlign w:val="center"/>
          </w:tcPr>
          <w:p w14:paraId="6D9FEBE0" w14:textId="77777777" w:rsidR="00804E4F" w:rsidRPr="008C40F0" w:rsidRDefault="00804E4F" w:rsidP="0000142C">
            <w:pPr>
              <w:shd w:val="clear" w:color="auto" w:fill="FFFFFF"/>
              <w:spacing w:line="276" w:lineRule="auto"/>
              <w:ind w:right="102"/>
              <w:jc w:val="both"/>
              <w:rPr>
                <w:rFonts w:asciiTheme="minorHAnsi" w:hAnsiTheme="minorHAnsi" w:cstheme="minorHAnsi"/>
                <w:sz w:val="20"/>
                <w:szCs w:val="20"/>
              </w:rPr>
            </w:pPr>
            <w:r w:rsidRPr="008C40F0">
              <w:rPr>
                <w:rFonts w:asciiTheme="minorHAnsi" w:hAnsiTheme="minorHAnsi" w:cstheme="minorHAnsi"/>
                <w:sz w:val="20"/>
                <w:szCs w:val="20"/>
              </w:rPr>
              <w:t>Oprogramowanie producenta komputera umożliwiające aktualizację sterowników poprzez Internet.</w:t>
            </w:r>
          </w:p>
          <w:p w14:paraId="2B28D5D4" w14:textId="77777777" w:rsidR="00804E4F" w:rsidRPr="008C40F0" w:rsidRDefault="00804E4F" w:rsidP="0000142C">
            <w:pPr>
              <w:shd w:val="clear" w:color="auto" w:fill="FFFFFF"/>
              <w:spacing w:line="276" w:lineRule="auto"/>
              <w:ind w:right="102"/>
              <w:jc w:val="both"/>
              <w:rPr>
                <w:rFonts w:asciiTheme="minorHAnsi" w:hAnsiTheme="minorHAnsi" w:cstheme="minorHAnsi"/>
                <w:bCs/>
                <w:sz w:val="20"/>
                <w:szCs w:val="20"/>
              </w:rPr>
            </w:pPr>
            <w:r w:rsidRPr="008C40F0">
              <w:rPr>
                <w:rFonts w:asciiTheme="minorHAnsi" w:hAnsiTheme="minorHAnsi" w:cstheme="minorHAnsi"/>
                <w:sz w:val="20"/>
                <w:szCs w:val="20"/>
              </w:rPr>
              <w:t>Dostęp do najnowszych sterowników i uaktualnień na stronie producenta komputera realizowany poprzez podanie na dedykowanej stronie internetowej producenta numeru seryjnego lub modelu komputera. Oprogramowanie producenta do odtwarzania systemu.</w:t>
            </w:r>
          </w:p>
        </w:tc>
      </w:tr>
      <w:tr w:rsidR="00804E4F" w:rsidRPr="008C40F0" w14:paraId="516156FA"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0CD6C9DB"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Warunki gwarancyjne</w:t>
            </w:r>
          </w:p>
        </w:tc>
        <w:tc>
          <w:tcPr>
            <w:tcW w:w="8505" w:type="dxa"/>
            <w:shd w:val="clear" w:color="auto" w:fill="auto"/>
            <w:vAlign w:val="center"/>
          </w:tcPr>
          <w:p w14:paraId="270A89E3" w14:textId="30B9B36A" w:rsidR="00804E4F" w:rsidRPr="00D10A7D" w:rsidRDefault="00804E4F" w:rsidP="0000142C">
            <w:pPr>
              <w:spacing w:line="276" w:lineRule="auto"/>
              <w:jc w:val="both"/>
              <w:rPr>
                <w:rFonts w:asciiTheme="minorHAnsi" w:hAnsiTheme="minorHAnsi" w:cstheme="minorHAnsi"/>
                <w:sz w:val="20"/>
                <w:szCs w:val="20"/>
              </w:rPr>
            </w:pPr>
            <w:r w:rsidRPr="00D10A7D">
              <w:rPr>
                <w:rFonts w:asciiTheme="minorHAnsi" w:hAnsiTheme="minorHAnsi" w:cstheme="minorHAnsi"/>
                <w:sz w:val="20"/>
                <w:szCs w:val="20"/>
              </w:rPr>
              <w:t>Firma serwisu</w:t>
            </w:r>
            <w:r w:rsidR="0080116E" w:rsidRPr="00D10A7D">
              <w:rPr>
                <w:rFonts w:asciiTheme="minorHAnsi" w:hAnsiTheme="minorHAnsi" w:cstheme="minorHAnsi"/>
                <w:sz w:val="20"/>
                <w:szCs w:val="20"/>
              </w:rPr>
              <w:t>jąca musi posiadać ISO 9001</w:t>
            </w:r>
            <w:r w:rsidRPr="00D10A7D">
              <w:rPr>
                <w:rFonts w:asciiTheme="minorHAnsi" w:hAnsiTheme="minorHAnsi" w:cstheme="minorHAnsi"/>
                <w:sz w:val="20"/>
                <w:szCs w:val="20"/>
              </w:rPr>
              <w:t xml:space="preserve"> na świadczenie usług serwisowych oraz posiadać autoryzacje pr</w:t>
            </w:r>
            <w:r w:rsidR="0080116E" w:rsidRPr="00D10A7D">
              <w:rPr>
                <w:rFonts w:asciiTheme="minorHAnsi" w:hAnsiTheme="minorHAnsi" w:cstheme="minorHAnsi"/>
                <w:sz w:val="20"/>
                <w:szCs w:val="20"/>
              </w:rPr>
              <w:t>oducenta urządzeń.</w:t>
            </w:r>
          </w:p>
          <w:p w14:paraId="640EE6C9" w14:textId="39704CAC" w:rsidR="00432B6E" w:rsidRDefault="00C50967" w:rsidP="0000142C">
            <w:pPr>
              <w:spacing w:line="276" w:lineRule="auto"/>
              <w:jc w:val="both"/>
              <w:rPr>
                <w:rFonts w:asciiTheme="minorHAnsi" w:hAnsiTheme="minorHAnsi" w:cstheme="minorHAnsi"/>
                <w:b/>
                <w:sz w:val="20"/>
                <w:szCs w:val="20"/>
              </w:rPr>
            </w:pPr>
            <w:r w:rsidRPr="004420FE">
              <w:rPr>
                <w:rFonts w:asciiTheme="minorHAnsi" w:hAnsiTheme="minorHAnsi" w:cstheme="minorHAnsi"/>
                <w:sz w:val="20"/>
                <w:szCs w:val="20"/>
              </w:rPr>
              <w:t>S</w:t>
            </w:r>
            <w:r w:rsidR="00804E4F" w:rsidRPr="004420FE">
              <w:rPr>
                <w:rFonts w:asciiTheme="minorHAnsi" w:hAnsiTheme="minorHAnsi" w:cstheme="minorHAnsi"/>
                <w:sz w:val="20"/>
                <w:szCs w:val="20"/>
              </w:rPr>
              <w:t xml:space="preserve">erwis urządzeń będzie realizowany bezpośrednio przez Producenta i/lub we współpracy </w:t>
            </w:r>
            <w:r w:rsidRPr="004420FE">
              <w:rPr>
                <w:rFonts w:asciiTheme="minorHAnsi" w:hAnsiTheme="minorHAnsi" w:cstheme="minorHAnsi"/>
                <w:sz w:val="20"/>
                <w:szCs w:val="20"/>
              </w:rPr>
              <w:br/>
            </w:r>
            <w:r w:rsidR="00804E4F" w:rsidRPr="004420FE">
              <w:rPr>
                <w:rFonts w:asciiTheme="minorHAnsi" w:hAnsiTheme="minorHAnsi" w:cstheme="minorHAnsi"/>
                <w:sz w:val="20"/>
                <w:szCs w:val="20"/>
              </w:rPr>
              <w:t xml:space="preserve">z Autoryzowanym </w:t>
            </w:r>
            <w:r w:rsidR="009D1A7B" w:rsidRPr="004420FE">
              <w:rPr>
                <w:rFonts w:asciiTheme="minorHAnsi" w:hAnsiTheme="minorHAnsi" w:cstheme="minorHAnsi"/>
                <w:sz w:val="20"/>
                <w:szCs w:val="20"/>
              </w:rPr>
              <w:t xml:space="preserve">Partnerem Serwisowym Producenta – </w:t>
            </w:r>
            <w:r w:rsidR="00432B6E" w:rsidRPr="00432B6E">
              <w:rPr>
                <w:rFonts w:asciiTheme="minorHAnsi" w:hAnsiTheme="minorHAnsi" w:cstheme="minorHAnsi"/>
                <w:b/>
                <w:sz w:val="20"/>
                <w:szCs w:val="20"/>
              </w:rPr>
              <w:t xml:space="preserve">Oświadczenia producenta lub Wykonawcy potwierdzające, że Serwis urządzeń będzie realizowany bezpośrednio przez Producenta i/lub we współpracy z Autoryzowanym Partnerem Serwisowym Producenta </w:t>
            </w:r>
            <w:r w:rsidR="00D10A7D">
              <w:rPr>
                <w:rFonts w:asciiTheme="minorHAnsi" w:hAnsiTheme="minorHAnsi" w:cstheme="minorHAnsi"/>
                <w:b/>
                <w:sz w:val="20"/>
                <w:szCs w:val="20"/>
              </w:rPr>
              <w:t>załączyć do oferty.</w:t>
            </w:r>
            <w:bookmarkStart w:id="0" w:name="_GoBack"/>
            <w:bookmarkEnd w:id="0"/>
          </w:p>
          <w:p w14:paraId="122DBF29" w14:textId="4D738700" w:rsidR="00804E4F" w:rsidRPr="004420FE" w:rsidRDefault="004E6B33" w:rsidP="0000142C">
            <w:pPr>
              <w:spacing w:line="276" w:lineRule="auto"/>
              <w:jc w:val="both"/>
              <w:rPr>
                <w:rFonts w:asciiTheme="minorHAnsi" w:hAnsiTheme="minorHAnsi" w:cstheme="minorHAnsi"/>
                <w:color w:val="FF0000"/>
                <w:sz w:val="20"/>
                <w:szCs w:val="20"/>
              </w:rPr>
            </w:pPr>
            <w:r w:rsidRPr="004420FE">
              <w:rPr>
                <w:rFonts w:asciiTheme="minorHAnsi" w:hAnsiTheme="minorHAnsi" w:cstheme="minorHAnsi"/>
                <w:sz w:val="20"/>
                <w:szCs w:val="20"/>
              </w:rPr>
              <w:t>W</w:t>
            </w:r>
            <w:r w:rsidR="00804E4F" w:rsidRPr="004420FE">
              <w:rPr>
                <w:rFonts w:asciiTheme="minorHAnsi" w:hAnsiTheme="minorHAnsi" w:cstheme="minorHAnsi"/>
                <w:sz w:val="20"/>
                <w:szCs w:val="20"/>
              </w:rPr>
              <w:t xml:space="preserve"> przypadku wystąpienia awarii dysku twardego w urządzeniu objętym aktywnym wparciem technicznym, uszkodzony dysk twardy pozostaje u Zamawiającego.</w:t>
            </w:r>
            <w:r w:rsidR="00804E4F" w:rsidRPr="004420FE">
              <w:rPr>
                <w:rFonts w:asciiTheme="minorHAnsi" w:hAnsiTheme="minorHAnsi" w:cstheme="minorHAnsi"/>
                <w:color w:val="FF0000"/>
                <w:sz w:val="20"/>
                <w:szCs w:val="20"/>
              </w:rPr>
              <w:t xml:space="preserve"> </w:t>
            </w:r>
          </w:p>
          <w:p w14:paraId="000B5560" w14:textId="68A6AC39" w:rsidR="00804E4F" w:rsidRPr="004420FE" w:rsidRDefault="00804E4F" w:rsidP="0000142C">
            <w:pPr>
              <w:spacing w:line="276" w:lineRule="auto"/>
              <w:jc w:val="both"/>
              <w:rPr>
                <w:rFonts w:asciiTheme="minorHAnsi" w:hAnsiTheme="minorHAnsi" w:cstheme="minorHAnsi"/>
                <w:sz w:val="20"/>
                <w:szCs w:val="20"/>
              </w:rPr>
            </w:pPr>
            <w:r w:rsidRPr="004420FE">
              <w:rPr>
                <w:rFonts w:asciiTheme="minorHAnsi" w:hAnsiTheme="minorHAnsi" w:cstheme="minorHAnsi"/>
                <w:sz w:val="20"/>
                <w:szCs w:val="20"/>
              </w:rPr>
              <w:t xml:space="preserve">Minimalny czas trwania wsparcia technicznego </w:t>
            </w:r>
            <w:r w:rsidR="00877F61" w:rsidRPr="004420FE">
              <w:rPr>
                <w:rFonts w:asciiTheme="minorHAnsi" w:hAnsiTheme="minorHAnsi" w:cstheme="minorHAnsi"/>
                <w:sz w:val="20"/>
                <w:szCs w:val="20"/>
              </w:rPr>
              <w:t xml:space="preserve">i gwarancji </w:t>
            </w:r>
            <w:r w:rsidRPr="004420FE">
              <w:rPr>
                <w:rFonts w:asciiTheme="minorHAnsi" w:hAnsiTheme="minorHAnsi" w:cstheme="minorHAnsi"/>
                <w:sz w:val="20"/>
                <w:szCs w:val="20"/>
              </w:rPr>
              <w:t xml:space="preserve">producenta wynosi </w:t>
            </w:r>
            <w:r w:rsidR="00D74329" w:rsidRPr="004420FE">
              <w:rPr>
                <w:rFonts w:asciiTheme="minorHAnsi" w:hAnsiTheme="minorHAnsi" w:cstheme="minorHAnsi"/>
                <w:sz w:val="20"/>
                <w:szCs w:val="20"/>
              </w:rPr>
              <w:t>36 miesięcy</w:t>
            </w:r>
            <w:r w:rsidRPr="004420FE">
              <w:rPr>
                <w:rFonts w:asciiTheme="minorHAnsi" w:hAnsiTheme="minorHAnsi" w:cstheme="minorHAnsi"/>
                <w:sz w:val="20"/>
                <w:szCs w:val="20"/>
              </w:rPr>
              <w:t xml:space="preserve">, z możliwością odpłatnego przedłużenia tego okresu do </w:t>
            </w:r>
            <w:r w:rsidR="00D74329" w:rsidRPr="004420FE">
              <w:rPr>
                <w:rFonts w:asciiTheme="minorHAnsi" w:hAnsiTheme="minorHAnsi" w:cstheme="minorHAnsi"/>
                <w:sz w:val="20"/>
                <w:szCs w:val="20"/>
              </w:rPr>
              <w:t xml:space="preserve">48 </w:t>
            </w:r>
            <w:r w:rsidRPr="004420FE">
              <w:rPr>
                <w:rFonts w:asciiTheme="minorHAnsi" w:hAnsiTheme="minorHAnsi" w:cstheme="minorHAnsi"/>
                <w:sz w:val="20"/>
                <w:szCs w:val="20"/>
              </w:rPr>
              <w:t xml:space="preserve">lub </w:t>
            </w:r>
            <w:r w:rsidR="00D74329" w:rsidRPr="004420FE">
              <w:rPr>
                <w:rFonts w:asciiTheme="minorHAnsi" w:hAnsiTheme="minorHAnsi" w:cstheme="minorHAnsi"/>
                <w:sz w:val="20"/>
                <w:szCs w:val="20"/>
              </w:rPr>
              <w:t xml:space="preserve">60 </w:t>
            </w:r>
            <w:r w:rsidR="00546FE1" w:rsidRPr="004420FE">
              <w:rPr>
                <w:rFonts w:asciiTheme="minorHAnsi" w:hAnsiTheme="minorHAnsi" w:cstheme="minorHAnsi"/>
                <w:sz w:val="20"/>
                <w:szCs w:val="20"/>
              </w:rPr>
              <w:t>miesięcy</w:t>
            </w:r>
            <w:r w:rsidRPr="004420FE">
              <w:rPr>
                <w:rFonts w:asciiTheme="minorHAnsi" w:hAnsiTheme="minorHAnsi" w:cstheme="minorHAnsi"/>
                <w:sz w:val="20"/>
                <w:szCs w:val="20"/>
              </w:rPr>
              <w:t xml:space="preserve"> od daty</w:t>
            </w:r>
            <w:r w:rsidR="002922C9" w:rsidRPr="004420FE">
              <w:rPr>
                <w:rFonts w:asciiTheme="minorHAnsi" w:hAnsiTheme="minorHAnsi" w:cstheme="minorHAnsi"/>
                <w:color w:val="000000"/>
                <w:sz w:val="20"/>
                <w:szCs w:val="20"/>
              </w:rPr>
              <w:t xml:space="preserve"> podpisania przez przedstawicieli obu Stron bez zastrzeżeń Protokołu odbioru</w:t>
            </w:r>
            <w:r w:rsidRPr="004420FE">
              <w:rPr>
                <w:rFonts w:asciiTheme="minorHAnsi" w:hAnsiTheme="minorHAnsi" w:cstheme="minorHAnsi"/>
                <w:sz w:val="20"/>
                <w:szCs w:val="20"/>
              </w:rPr>
              <w:t>.</w:t>
            </w:r>
          </w:p>
          <w:p w14:paraId="4DD6F04F"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Sposób realizacji usług wsparcia technicznego :</w:t>
            </w:r>
          </w:p>
          <w:p w14:paraId="49CDD586"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Telefoniczne zgłaszanie usterek w trybie 24h / dobę, 7 dni w tygodniu (w języku polskim w dni robocze w godz. 8-17).</w:t>
            </w:r>
          </w:p>
          <w:p w14:paraId="78856073"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Dostęp do bezpłatnego portalu technicznego producenta, który umożliwi zamawianie części zamiennych i/lub wizyt technika serwisowego, mający na celu przyśpieszenie procesu diagnostyki i skrócenia czasu usunięcia usterki.</w:t>
            </w:r>
          </w:p>
          <w:p w14:paraId="2FD215C3"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Opcjonalna pomoc techniczna za pośrednictwem czat online.</w:t>
            </w:r>
          </w:p>
          <w:p w14:paraId="2999A897"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06E57F07" w14:textId="298A8B63"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xml:space="preserve">W przypadku awarii zakwalifikowanej jako naprawa w miejscu instalacji urządzenia, część zamienna wymagana do naprawy i/lub technik serwisowy przybędzie na miejsce wskazane przez klienta na następny </w:t>
            </w:r>
            <w:r w:rsidR="00C4653D" w:rsidRPr="008C40F0">
              <w:rPr>
                <w:rFonts w:asciiTheme="minorHAnsi" w:hAnsiTheme="minorHAnsi" w:cstheme="minorHAnsi"/>
                <w:sz w:val="20"/>
                <w:szCs w:val="20"/>
              </w:rPr>
              <w:t>dzień</w:t>
            </w:r>
            <w:r w:rsidRPr="008C40F0">
              <w:rPr>
                <w:rFonts w:asciiTheme="minorHAnsi" w:hAnsiTheme="minorHAnsi" w:cstheme="minorHAnsi"/>
                <w:sz w:val="20"/>
                <w:szCs w:val="20"/>
              </w:rPr>
              <w:t xml:space="preserve"> roboczy od momentu skutecznego przyjęcia zgłoszenia przez Dział Wsparcia Technicznego.</w:t>
            </w:r>
          </w:p>
          <w:p w14:paraId="2D46DEAD"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Możliwość sprawdzenia aktualnego okresu i poziomu wsparcia technicznego dla urządzeń za pośrednictwem strony internetowej producenta.</w:t>
            </w:r>
          </w:p>
          <w:p w14:paraId="12D94FFE" w14:textId="4312145B" w:rsidR="00804E4F" w:rsidRPr="008C40F0" w:rsidRDefault="00C4653D"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Możliwość</w:t>
            </w:r>
            <w:r w:rsidR="00804E4F" w:rsidRPr="008C40F0">
              <w:rPr>
                <w:rFonts w:asciiTheme="minorHAnsi" w:hAnsiTheme="minorHAnsi" w:cstheme="minorHAnsi"/>
                <w:sz w:val="20"/>
                <w:szCs w:val="20"/>
              </w:rPr>
              <w:t xml:space="preserve"> pobrania aktualnych wersji sterowników oraz </w:t>
            </w:r>
            <w:proofErr w:type="spellStart"/>
            <w:r w:rsidR="00804E4F" w:rsidRPr="008C40F0">
              <w:rPr>
                <w:rFonts w:asciiTheme="minorHAnsi" w:hAnsiTheme="minorHAnsi" w:cstheme="minorHAnsi"/>
                <w:sz w:val="20"/>
                <w:szCs w:val="20"/>
              </w:rPr>
              <w:t>firmware</w:t>
            </w:r>
            <w:proofErr w:type="spellEnd"/>
            <w:r w:rsidR="00804E4F" w:rsidRPr="008C40F0">
              <w:rPr>
                <w:rFonts w:asciiTheme="minorHAnsi" w:hAnsiTheme="minorHAnsi" w:cstheme="minorHAnsi"/>
                <w:sz w:val="20"/>
                <w:szCs w:val="20"/>
              </w:rPr>
              <w:t xml:space="preserve"> urządzenia za pośrednictwem strony internetowej producenta również dla urządzeń z nieaktywnym wsparciem technicznym.</w:t>
            </w:r>
          </w:p>
          <w:p w14:paraId="35DE7F24"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Przydzielenie zasobu w postaci kierownika technicznego w przypadku eskalacji problemów serwisowych.</w:t>
            </w:r>
          </w:p>
          <w:p w14:paraId="33C066F0" w14:textId="77777777" w:rsidR="00804E4F" w:rsidRPr="008C40F0" w:rsidRDefault="00804E4F" w:rsidP="0000142C">
            <w:pPr>
              <w:spacing w:line="276" w:lineRule="auto"/>
              <w:jc w:val="both"/>
              <w:rPr>
                <w:rFonts w:asciiTheme="minorHAnsi" w:hAnsiTheme="minorHAnsi" w:cstheme="minorHAnsi"/>
                <w:b/>
                <w:color w:val="FF0000"/>
                <w:sz w:val="20"/>
                <w:szCs w:val="20"/>
              </w:rPr>
            </w:pPr>
            <w:r w:rsidRPr="008C40F0">
              <w:rPr>
                <w:rFonts w:asciiTheme="minorHAnsi" w:hAnsiTheme="minorHAnsi" w:cstheme="minorHAnsi"/>
                <w:sz w:val="20"/>
                <w:szCs w:val="20"/>
              </w:rPr>
              <w:t>Dostawca zapewni bezpłatne oprogramowanie do automatycznej diagnostyki, zdalnego zgłaszania awarii do serwisu i automatycznego zakładania zgłoszeń serwisowych.</w:t>
            </w:r>
            <w:r w:rsidRPr="008C40F0">
              <w:rPr>
                <w:rFonts w:asciiTheme="minorHAnsi" w:hAnsiTheme="minorHAnsi" w:cstheme="minorHAnsi"/>
                <w:b/>
                <w:color w:val="FF0000"/>
                <w:sz w:val="20"/>
                <w:szCs w:val="20"/>
              </w:rPr>
              <w:t xml:space="preserve"> </w:t>
            </w:r>
          </w:p>
          <w:p w14:paraId="7739DD60" w14:textId="77777777" w:rsidR="00804E4F" w:rsidRPr="008C40F0" w:rsidRDefault="00804E4F" w:rsidP="0000142C">
            <w:pPr>
              <w:spacing w:line="276" w:lineRule="auto"/>
              <w:jc w:val="both"/>
              <w:rPr>
                <w:rFonts w:asciiTheme="minorHAnsi" w:hAnsiTheme="minorHAnsi" w:cstheme="minorHAnsi"/>
                <w:b/>
                <w:color w:val="FF0000"/>
                <w:sz w:val="20"/>
                <w:szCs w:val="20"/>
              </w:rPr>
            </w:pPr>
          </w:p>
          <w:p w14:paraId="01EEA410"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Zamawiający wymaga narzędzia do zarządzania zgłoszeniami serwisowymi samodzielnie przez portal internetowy lub inne narzędzie nie wymagające działań po stronie dostawcy. Narzędzie powinno umożliwiać:</w:t>
            </w:r>
          </w:p>
          <w:p w14:paraId="3B18BAC7"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samodzielne wystawianie zgłoszeń serwisowych, śledzenie stanu zgłoszenia, komunikację z serwisem producenta przez edycję zlecenia i stanu zlecenia</w:t>
            </w:r>
          </w:p>
          <w:p w14:paraId="3EC22A47"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dostęp do materiałów serwisowych - co najmniej podręczników serwisowych i not serwisowych</w:t>
            </w:r>
          </w:p>
          <w:p w14:paraId="0A9FA079" w14:textId="28DBE5B3" w:rsidR="00E50235"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dostęp do materiałów szkoleniowych</w:t>
            </w:r>
          </w:p>
          <w:p w14:paraId="66234AD7"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lastRenderedPageBreak/>
              <w:t xml:space="preserve">- możliwości dodawania plików do otwieranego lub otwartego zlecenia (zdjęcia uszkodzeń, opisy etc.) </w:t>
            </w:r>
          </w:p>
          <w:p w14:paraId="181AA845" w14:textId="51B60F3F" w:rsidR="00297A9A"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xml:space="preserve">- śledzenie historii zleceń - raporty ze zleceń, historia - dla poszczególnych zleceń lub dla poszczególnych komputerów </w:t>
            </w:r>
          </w:p>
          <w:p w14:paraId="212DF3EC"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xml:space="preserve">- możliwość samodzielnego zarządzania wysyłką części (decyzja o zamówieniu części zamiennych i diagnostyka po stronie zamawiającego) </w:t>
            </w:r>
          </w:p>
          <w:p w14:paraId="7AF376A1"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691AECC8"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możliwość spięcia systemu serwisowego producenta z systemem helpdesk zamawiającego (dostępność API co najmniej dla opcji wystawienie zlecenia, sprawdzenie stanu zlecenia, raport zleceń)</w:t>
            </w:r>
          </w:p>
          <w:p w14:paraId="21C956FD" w14:textId="77777777" w:rsidR="00804E4F"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tworzenia kont dla inżynierów serwisu z możliwością sprawdzenia statystyk wydajności / jakości ich pracy.</w:t>
            </w:r>
          </w:p>
          <w:p w14:paraId="48FA9CE2" w14:textId="1A7AA2EA" w:rsidR="00E50235" w:rsidRPr="008C40F0" w:rsidRDefault="00E50235" w:rsidP="0000142C">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Gwarancja producenta komputera wg. </w:t>
            </w:r>
            <w:r w:rsidR="004B6BE5">
              <w:rPr>
                <w:rFonts w:asciiTheme="minorHAnsi" w:hAnsiTheme="minorHAnsi" w:cstheme="minorHAnsi"/>
                <w:sz w:val="20"/>
                <w:szCs w:val="20"/>
              </w:rPr>
              <w:t>p</w:t>
            </w:r>
            <w:r>
              <w:rPr>
                <w:rFonts w:asciiTheme="minorHAnsi" w:hAnsiTheme="minorHAnsi" w:cstheme="minorHAnsi"/>
                <w:sz w:val="20"/>
                <w:szCs w:val="20"/>
              </w:rPr>
              <w:t>owyższego opisu ma obejmować wszystkie podzespoły oferowanego komputera</w:t>
            </w:r>
            <w:r w:rsidR="004B6BE5">
              <w:rPr>
                <w:rFonts w:asciiTheme="minorHAnsi" w:hAnsiTheme="minorHAnsi" w:cstheme="minorHAnsi"/>
                <w:sz w:val="20"/>
                <w:szCs w:val="20"/>
              </w:rPr>
              <w:t xml:space="preserve"> z możliwością weryfikacji online </w:t>
            </w:r>
            <w:r w:rsidR="004B6BE5" w:rsidRPr="004B6BE5">
              <w:rPr>
                <w:rFonts w:asciiTheme="minorHAnsi" w:hAnsiTheme="minorHAnsi" w:cstheme="minorHAnsi"/>
                <w:sz w:val="20"/>
                <w:szCs w:val="20"/>
              </w:rPr>
              <w:t>na stronie producenta</w:t>
            </w:r>
            <w:r w:rsidR="004B6BE5">
              <w:rPr>
                <w:rFonts w:asciiTheme="minorHAnsi" w:hAnsiTheme="minorHAnsi" w:cstheme="minorHAnsi"/>
                <w:sz w:val="20"/>
                <w:szCs w:val="20"/>
              </w:rPr>
              <w:t xml:space="preserve"> zakresu gwarancji dla wszystkich podzespołów oferowanego sprzętu</w:t>
            </w:r>
            <w:r>
              <w:rPr>
                <w:rFonts w:asciiTheme="minorHAnsi" w:hAnsiTheme="minorHAnsi" w:cstheme="minorHAnsi"/>
                <w:sz w:val="20"/>
                <w:szCs w:val="20"/>
              </w:rPr>
              <w:t>.</w:t>
            </w:r>
            <w:r w:rsidR="004B6BE5">
              <w:rPr>
                <w:rFonts w:asciiTheme="minorHAnsi" w:hAnsiTheme="minorHAnsi" w:cstheme="minorHAnsi"/>
                <w:sz w:val="20"/>
                <w:szCs w:val="20"/>
              </w:rPr>
              <w:t xml:space="preserve"> </w:t>
            </w:r>
          </w:p>
        </w:tc>
      </w:tr>
      <w:tr w:rsidR="00804E4F" w:rsidRPr="008C40F0" w14:paraId="5856A6D1"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1E529C99" w14:textId="77777777" w:rsidR="00804E4F" w:rsidRPr="008C40F0" w:rsidRDefault="00804E4F" w:rsidP="0000142C">
            <w:pPr>
              <w:spacing w:line="276" w:lineRule="auto"/>
              <w:jc w:val="both"/>
              <w:rPr>
                <w:rFonts w:asciiTheme="minorHAnsi" w:hAnsiTheme="minorHAnsi" w:cstheme="minorHAnsi"/>
                <w:b/>
                <w:color w:val="FF0000"/>
                <w:sz w:val="20"/>
                <w:szCs w:val="20"/>
              </w:rPr>
            </w:pPr>
            <w:r w:rsidRPr="008C40F0">
              <w:rPr>
                <w:rFonts w:asciiTheme="minorHAnsi" w:hAnsiTheme="minorHAnsi" w:cstheme="minorHAnsi"/>
                <w:b/>
                <w:sz w:val="20"/>
                <w:szCs w:val="20"/>
              </w:rPr>
              <w:lastRenderedPageBreak/>
              <w:t>System diagnostyczny</w:t>
            </w:r>
          </w:p>
        </w:tc>
        <w:tc>
          <w:tcPr>
            <w:tcW w:w="8505" w:type="dxa"/>
            <w:shd w:val="clear" w:color="auto" w:fill="auto"/>
            <w:vAlign w:val="center"/>
          </w:tcPr>
          <w:p w14:paraId="624E6303"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xml:space="preserve">System diagnostyczny z graficznym interfejsem użytkownika zaimplementowany w pamięci </w:t>
            </w:r>
            <w:proofErr w:type="spellStart"/>
            <w:r w:rsidRPr="008C40F0">
              <w:rPr>
                <w:rFonts w:asciiTheme="minorHAnsi" w:hAnsiTheme="minorHAnsi" w:cstheme="minorHAnsi"/>
                <w:bCs/>
                <w:sz w:val="20"/>
                <w:szCs w:val="20"/>
              </w:rPr>
              <w:t>flash</w:t>
            </w:r>
            <w:proofErr w:type="spellEnd"/>
            <w:r w:rsidRPr="008C40F0">
              <w:rPr>
                <w:rFonts w:asciiTheme="minorHAnsi" w:hAnsiTheme="minorHAnsi" w:cstheme="minorHAnsi"/>
                <w:bCs/>
                <w:sz w:val="20"/>
                <w:szCs w:val="20"/>
              </w:rPr>
              <w:t xml:space="preserve"> współdzielonej z BIOS, dostępny z poziomu szybkiego menu </w:t>
            </w:r>
            <w:proofErr w:type="spellStart"/>
            <w:r w:rsidRPr="008C40F0">
              <w:rPr>
                <w:rFonts w:asciiTheme="minorHAnsi" w:hAnsiTheme="minorHAnsi" w:cstheme="minorHAnsi"/>
                <w:bCs/>
                <w:sz w:val="20"/>
                <w:szCs w:val="20"/>
              </w:rPr>
              <w:t>boot</w:t>
            </w:r>
            <w:proofErr w:type="spellEnd"/>
            <w:r w:rsidRPr="008C40F0">
              <w:rPr>
                <w:rFonts w:asciiTheme="minorHAnsi" w:hAnsiTheme="minorHAnsi" w:cstheme="minorHAnsi"/>
                <w:bCs/>
                <w:sz w:val="20"/>
                <w:szCs w:val="20"/>
              </w:rPr>
              <w:t>, umożliwiający jednoczesne przetestowanie w celu wykrycia usterki zainstalowanych komponentów w oferowanym komputerze bez konieczności uruchamiania systemu operacyjnego. System ten podaje dokładne informacje o wszystkich zainstalowanych komponentach, a w szczególności zawiera: informacje o numerze seryjnym, typie i pojemności dysku twardego; informacje o obrotach wentylatora CPU; wykaz temperatur dla CPU; informacje o procesorze, w tym model i taktowanie; informacje o pamięci, w tym wielkość podana w MB, obsadzenie w konkretnym banku, typ pamięci. System wyposażony m.in. w następujące funkcjonalności:</w:t>
            </w:r>
          </w:p>
          <w:p w14:paraId="7439443A"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test procesora (min. cache)</w:t>
            </w:r>
          </w:p>
          <w:p w14:paraId="53FB529D"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test pamięci</w:t>
            </w:r>
          </w:p>
          <w:p w14:paraId="6B9D4074"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test wentylatora dla procesora i dodatkowego wentylatora</w:t>
            </w:r>
            <w:r>
              <w:rPr>
                <w:rFonts w:asciiTheme="minorHAnsi" w:hAnsiTheme="minorHAnsi" w:cstheme="minorHAnsi"/>
                <w:bCs/>
                <w:sz w:val="20"/>
                <w:szCs w:val="20"/>
              </w:rPr>
              <w:t xml:space="preserve"> </w:t>
            </w:r>
            <w:r w:rsidRPr="008C40F0">
              <w:rPr>
                <w:rFonts w:asciiTheme="minorHAnsi" w:hAnsiTheme="minorHAnsi" w:cstheme="minorHAnsi"/>
                <w:bCs/>
                <w:sz w:val="20"/>
                <w:szCs w:val="20"/>
              </w:rPr>
              <w:t>(w przypadku zamontowania)</w:t>
            </w:r>
          </w:p>
          <w:p w14:paraId="0ABE7FCE"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xml:space="preserve">- test magistrali </w:t>
            </w:r>
            <w:proofErr w:type="spellStart"/>
            <w:r w:rsidRPr="008C40F0">
              <w:rPr>
                <w:rFonts w:asciiTheme="minorHAnsi" w:hAnsiTheme="minorHAnsi" w:cstheme="minorHAnsi"/>
                <w:bCs/>
                <w:sz w:val="20"/>
                <w:szCs w:val="20"/>
              </w:rPr>
              <w:t>PCIe</w:t>
            </w:r>
            <w:proofErr w:type="spellEnd"/>
          </w:p>
          <w:p w14:paraId="4939B769"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test karty sieciowej</w:t>
            </w:r>
          </w:p>
          <w:p w14:paraId="463E0C1D"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test napędu optycznego</w:t>
            </w:r>
          </w:p>
          <w:p w14:paraId="55638DA0"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test urządzeń USB</w:t>
            </w:r>
          </w:p>
          <w:p w14:paraId="673D0BD7"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test dysku twardego</w:t>
            </w:r>
          </w:p>
          <w:p w14:paraId="2BFC1358"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System działający nawet w wypadku braku dysku twardego lub</w:t>
            </w:r>
            <w:r>
              <w:rPr>
                <w:rFonts w:asciiTheme="minorHAnsi" w:hAnsiTheme="minorHAnsi" w:cstheme="minorHAnsi"/>
                <w:bCs/>
                <w:sz w:val="20"/>
                <w:szCs w:val="20"/>
              </w:rPr>
              <w:t xml:space="preserve"> </w:t>
            </w:r>
            <w:r w:rsidRPr="008C40F0">
              <w:rPr>
                <w:rFonts w:asciiTheme="minorHAnsi" w:hAnsiTheme="minorHAnsi" w:cstheme="minorHAnsi"/>
                <w:bCs/>
                <w:sz w:val="20"/>
                <w:szCs w:val="20"/>
              </w:rPr>
              <w:t>w przypadku jego uszkodzenia.</w:t>
            </w:r>
          </w:p>
          <w:p w14:paraId="007EE174" w14:textId="77777777" w:rsidR="00804E4F" w:rsidRPr="008C40F0" w:rsidRDefault="00804E4F" w:rsidP="0000142C">
            <w:pPr>
              <w:spacing w:line="276" w:lineRule="auto"/>
              <w:jc w:val="both"/>
              <w:rPr>
                <w:rFonts w:asciiTheme="minorHAnsi" w:hAnsiTheme="minorHAnsi" w:cstheme="minorHAnsi"/>
                <w:bCs/>
                <w:sz w:val="20"/>
                <w:szCs w:val="20"/>
              </w:rPr>
            </w:pPr>
          </w:p>
          <w:p w14:paraId="1E9BC163" w14:textId="77777777" w:rsidR="00804E4F" w:rsidRPr="008C40F0" w:rsidRDefault="00804E4F" w:rsidP="0000142C">
            <w:pPr>
              <w:spacing w:line="276" w:lineRule="auto"/>
              <w:jc w:val="both"/>
              <w:rPr>
                <w:rFonts w:asciiTheme="minorHAnsi" w:hAnsiTheme="minorHAnsi" w:cstheme="minorHAnsi"/>
                <w:color w:val="FF0000"/>
                <w:sz w:val="20"/>
                <w:szCs w:val="20"/>
              </w:rPr>
            </w:pPr>
            <w:r w:rsidRPr="008C40F0">
              <w:rPr>
                <w:rFonts w:asciiTheme="minorHAnsi" w:hAnsiTheme="minorHAnsi" w:cstheme="minorHAnsi"/>
                <w:bCs/>
                <w:sz w:val="20"/>
                <w:szCs w:val="20"/>
              </w:rPr>
              <w:t>Zamawiający dopuszcza zaoferowanie komputera którego system diagnostyczny nie udostępnia informacji o obrotach wentylatora CPU oraz o wykazie temperatur CPU. Wówczas wykonawca zobowiązany jest dostarczyć narzędzia diagnostyczne umożliwiające kontrolę tych parametrów pracy urządzenia bez potrzeby uruchamiania zainstalowanego na komputerze systemu operacyjnego.</w:t>
            </w:r>
          </w:p>
        </w:tc>
      </w:tr>
      <w:tr w:rsidR="00804E4F" w14:paraId="3EB3A165"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0F4A7995" w14:textId="77777777" w:rsidR="00804E4F" w:rsidRDefault="00804E4F" w:rsidP="0000142C">
            <w:pPr>
              <w:spacing w:line="276" w:lineRule="auto"/>
              <w:jc w:val="both"/>
              <w:rPr>
                <w:rFonts w:asciiTheme="minorHAnsi" w:hAnsiTheme="minorHAnsi" w:cstheme="minorHAnsi"/>
                <w:b/>
                <w:sz w:val="20"/>
                <w:szCs w:val="20"/>
              </w:rPr>
            </w:pPr>
            <w:r>
              <w:rPr>
                <w:rFonts w:asciiTheme="minorHAnsi" w:hAnsiTheme="minorHAnsi" w:cstheme="minorHAnsi"/>
                <w:b/>
                <w:sz w:val="20"/>
                <w:szCs w:val="20"/>
              </w:rPr>
              <w:t>Zabezpieczenia</w:t>
            </w:r>
          </w:p>
        </w:tc>
        <w:tc>
          <w:tcPr>
            <w:tcW w:w="8505" w:type="dxa"/>
            <w:shd w:val="clear" w:color="auto" w:fill="auto"/>
            <w:vAlign w:val="center"/>
          </w:tcPr>
          <w:p w14:paraId="3726F63D" w14:textId="77777777" w:rsidR="00804E4F" w:rsidRDefault="00804E4F" w:rsidP="0000142C">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filtr </w:t>
            </w:r>
            <w:proofErr w:type="spellStart"/>
            <w:r>
              <w:rPr>
                <w:rFonts w:asciiTheme="minorHAnsi" w:hAnsiTheme="minorHAnsi" w:cstheme="minorHAnsi"/>
                <w:bCs/>
                <w:sz w:val="20"/>
                <w:szCs w:val="20"/>
              </w:rPr>
              <w:t>przeciwkurzowy</w:t>
            </w:r>
            <w:proofErr w:type="spellEnd"/>
          </w:p>
          <w:p w14:paraId="6CC142F9" w14:textId="77777777" w:rsidR="00804E4F" w:rsidRDefault="00804E4F" w:rsidP="0000142C">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moduł TPM</w:t>
            </w:r>
          </w:p>
          <w:p w14:paraId="4D3328DE" w14:textId="77777777" w:rsidR="00804E4F" w:rsidRDefault="00804E4F" w:rsidP="0000142C">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złącze w obudowie umożliwiające zabezpieczenie komputera linką przed kradzieżą</w:t>
            </w:r>
          </w:p>
        </w:tc>
      </w:tr>
      <w:tr w:rsidR="00804E4F" w:rsidRPr="008C40F0" w14:paraId="02BD1D18"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0C4363E1" w14:textId="77777777" w:rsidR="00804E4F" w:rsidRPr="008C40F0" w:rsidRDefault="00804E4F" w:rsidP="0000142C">
            <w:pPr>
              <w:spacing w:line="276" w:lineRule="auto"/>
              <w:jc w:val="both"/>
              <w:rPr>
                <w:rFonts w:asciiTheme="minorHAnsi" w:hAnsiTheme="minorHAnsi" w:cstheme="minorHAnsi"/>
                <w:b/>
                <w:sz w:val="20"/>
                <w:szCs w:val="20"/>
              </w:rPr>
            </w:pPr>
            <w:r>
              <w:rPr>
                <w:rFonts w:asciiTheme="minorHAnsi" w:hAnsiTheme="minorHAnsi" w:cstheme="minorHAnsi"/>
                <w:b/>
                <w:sz w:val="20"/>
                <w:szCs w:val="20"/>
              </w:rPr>
              <w:t>Wyposażenie dodatkowe</w:t>
            </w:r>
          </w:p>
        </w:tc>
        <w:tc>
          <w:tcPr>
            <w:tcW w:w="8505" w:type="dxa"/>
            <w:shd w:val="clear" w:color="auto" w:fill="auto"/>
            <w:vAlign w:val="center"/>
          </w:tcPr>
          <w:p w14:paraId="105B6D75" w14:textId="4E0ABC24" w:rsidR="00804E4F" w:rsidRDefault="00804E4F" w:rsidP="0000142C">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min. klawiatura </w:t>
            </w:r>
            <w:r w:rsidR="00C4653D">
              <w:rPr>
                <w:rFonts w:asciiTheme="minorHAnsi" w:hAnsiTheme="minorHAnsi" w:cstheme="minorHAnsi"/>
                <w:bCs/>
                <w:sz w:val="20"/>
                <w:szCs w:val="20"/>
              </w:rPr>
              <w:t>bezprzewodowa</w:t>
            </w:r>
            <w:r>
              <w:rPr>
                <w:rFonts w:asciiTheme="minorHAnsi" w:hAnsiTheme="minorHAnsi" w:cstheme="minorHAnsi"/>
                <w:bCs/>
                <w:sz w:val="20"/>
                <w:szCs w:val="20"/>
              </w:rPr>
              <w:t xml:space="preserve"> - łączność 2.4GHz; klawisze membranowe; r</w:t>
            </w:r>
            <w:r w:rsidRPr="00AD1922">
              <w:rPr>
                <w:rFonts w:asciiTheme="minorHAnsi" w:hAnsiTheme="minorHAnsi" w:cstheme="minorHAnsi"/>
                <w:bCs/>
                <w:sz w:val="20"/>
                <w:szCs w:val="20"/>
              </w:rPr>
              <w:t>egulowane</w:t>
            </w:r>
            <w:r>
              <w:rPr>
                <w:rFonts w:asciiTheme="minorHAnsi" w:hAnsiTheme="minorHAnsi" w:cstheme="minorHAnsi"/>
                <w:bCs/>
                <w:sz w:val="20"/>
                <w:szCs w:val="20"/>
              </w:rPr>
              <w:t>,</w:t>
            </w:r>
            <w:r w:rsidRPr="00AD1922">
              <w:rPr>
                <w:rFonts w:asciiTheme="minorHAnsi" w:hAnsiTheme="minorHAnsi" w:cstheme="minorHAnsi"/>
                <w:bCs/>
                <w:sz w:val="20"/>
                <w:szCs w:val="20"/>
              </w:rPr>
              <w:t xml:space="preserve"> antypoślizgowe</w:t>
            </w:r>
            <w:r>
              <w:rPr>
                <w:rFonts w:asciiTheme="minorHAnsi" w:hAnsiTheme="minorHAnsi" w:cstheme="minorHAnsi"/>
                <w:bCs/>
                <w:sz w:val="20"/>
                <w:szCs w:val="20"/>
              </w:rPr>
              <w:t xml:space="preserve"> </w:t>
            </w:r>
            <w:r w:rsidRPr="00AD1922">
              <w:rPr>
                <w:rFonts w:asciiTheme="minorHAnsi" w:hAnsiTheme="minorHAnsi" w:cstheme="minorHAnsi"/>
                <w:bCs/>
                <w:sz w:val="20"/>
                <w:szCs w:val="20"/>
              </w:rPr>
              <w:t>stopki</w:t>
            </w:r>
            <w:r>
              <w:rPr>
                <w:rFonts w:asciiTheme="minorHAnsi" w:hAnsiTheme="minorHAnsi" w:cstheme="minorHAnsi"/>
                <w:bCs/>
                <w:sz w:val="20"/>
                <w:szCs w:val="20"/>
              </w:rPr>
              <w:t xml:space="preserve">; </w:t>
            </w:r>
            <w:r w:rsidRPr="00AD1922">
              <w:rPr>
                <w:rFonts w:asciiTheme="minorHAnsi" w:hAnsiTheme="minorHAnsi" w:cstheme="minorHAnsi"/>
                <w:bCs/>
                <w:sz w:val="20"/>
                <w:szCs w:val="20"/>
              </w:rPr>
              <w:t>128-bitowe szyfrowane połączenie</w:t>
            </w:r>
            <w:r>
              <w:rPr>
                <w:rFonts w:asciiTheme="minorHAnsi" w:hAnsiTheme="minorHAnsi" w:cstheme="minorHAnsi"/>
                <w:bCs/>
                <w:sz w:val="20"/>
                <w:szCs w:val="20"/>
              </w:rPr>
              <w:t>; o</w:t>
            </w:r>
            <w:r w:rsidRPr="00AD1922">
              <w:rPr>
                <w:rFonts w:asciiTheme="minorHAnsi" w:hAnsiTheme="minorHAnsi" w:cstheme="minorHAnsi"/>
                <w:bCs/>
                <w:sz w:val="20"/>
                <w:szCs w:val="20"/>
              </w:rPr>
              <w:t>dporność na zachlapanie</w:t>
            </w:r>
            <w:r>
              <w:rPr>
                <w:rFonts w:asciiTheme="minorHAnsi" w:hAnsiTheme="minorHAnsi" w:cstheme="minorHAnsi"/>
                <w:bCs/>
                <w:sz w:val="20"/>
                <w:szCs w:val="20"/>
              </w:rPr>
              <w:t xml:space="preserve">; </w:t>
            </w:r>
            <w:r w:rsidR="00C4653D">
              <w:rPr>
                <w:rFonts w:asciiTheme="minorHAnsi" w:hAnsiTheme="minorHAnsi" w:cstheme="minorHAnsi"/>
                <w:bCs/>
                <w:sz w:val="20"/>
                <w:szCs w:val="20"/>
              </w:rPr>
              <w:t>w</w:t>
            </w:r>
            <w:r w:rsidR="00C4653D" w:rsidRPr="00AD1922">
              <w:rPr>
                <w:rFonts w:asciiTheme="minorHAnsi" w:hAnsiTheme="minorHAnsi" w:cstheme="minorHAnsi"/>
                <w:bCs/>
                <w:sz w:val="20"/>
                <w:szCs w:val="20"/>
              </w:rPr>
              <w:t>skaźnik</w:t>
            </w:r>
            <w:r w:rsidRPr="00AD1922">
              <w:rPr>
                <w:rFonts w:asciiTheme="minorHAnsi" w:hAnsiTheme="minorHAnsi" w:cstheme="minorHAnsi"/>
                <w:bCs/>
                <w:sz w:val="20"/>
                <w:szCs w:val="20"/>
              </w:rPr>
              <w:t xml:space="preserve"> naładowania baterii</w:t>
            </w:r>
            <w:r>
              <w:rPr>
                <w:rFonts w:asciiTheme="minorHAnsi" w:hAnsiTheme="minorHAnsi" w:cstheme="minorHAnsi"/>
                <w:bCs/>
                <w:sz w:val="20"/>
                <w:szCs w:val="20"/>
              </w:rPr>
              <w:t xml:space="preserve">; wymiary maksymalne: </w:t>
            </w:r>
            <w:r w:rsidRPr="00AD1922">
              <w:rPr>
                <w:rFonts w:asciiTheme="minorHAnsi" w:hAnsiTheme="minorHAnsi" w:cstheme="minorHAnsi"/>
                <w:bCs/>
                <w:sz w:val="20"/>
                <w:szCs w:val="20"/>
              </w:rPr>
              <w:t xml:space="preserve">długość </w:t>
            </w:r>
            <w:r>
              <w:rPr>
                <w:rFonts w:asciiTheme="minorHAnsi" w:hAnsiTheme="minorHAnsi" w:cstheme="minorHAnsi"/>
                <w:bCs/>
                <w:sz w:val="20"/>
                <w:szCs w:val="20"/>
              </w:rPr>
              <w:t xml:space="preserve">do </w:t>
            </w:r>
            <w:r w:rsidRPr="00AD1922">
              <w:rPr>
                <w:rFonts w:asciiTheme="minorHAnsi" w:hAnsiTheme="minorHAnsi" w:cstheme="minorHAnsi"/>
                <w:bCs/>
                <w:sz w:val="20"/>
                <w:szCs w:val="20"/>
              </w:rPr>
              <w:t xml:space="preserve">45cm, szerokość </w:t>
            </w:r>
            <w:r>
              <w:rPr>
                <w:rFonts w:asciiTheme="minorHAnsi" w:hAnsiTheme="minorHAnsi" w:cstheme="minorHAnsi"/>
                <w:bCs/>
                <w:sz w:val="20"/>
                <w:szCs w:val="20"/>
              </w:rPr>
              <w:t xml:space="preserve">do </w:t>
            </w:r>
            <w:r w:rsidRPr="00AD1922">
              <w:rPr>
                <w:rFonts w:asciiTheme="minorHAnsi" w:hAnsiTheme="minorHAnsi" w:cstheme="minorHAnsi"/>
                <w:bCs/>
                <w:sz w:val="20"/>
                <w:szCs w:val="20"/>
              </w:rPr>
              <w:t xml:space="preserve">12,5cm, wysokość </w:t>
            </w:r>
            <w:r>
              <w:rPr>
                <w:rFonts w:asciiTheme="minorHAnsi" w:hAnsiTheme="minorHAnsi" w:cstheme="minorHAnsi"/>
                <w:bCs/>
                <w:sz w:val="20"/>
                <w:szCs w:val="20"/>
              </w:rPr>
              <w:t>do</w:t>
            </w:r>
            <w:r w:rsidRPr="00AD1922">
              <w:rPr>
                <w:rFonts w:asciiTheme="minorHAnsi" w:hAnsiTheme="minorHAnsi" w:cstheme="minorHAnsi"/>
                <w:bCs/>
                <w:sz w:val="20"/>
                <w:szCs w:val="20"/>
              </w:rPr>
              <w:t xml:space="preserve"> 2,5cm</w:t>
            </w:r>
            <w:r>
              <w:rPr>
                <w:rFonts w:asciiTheme="minorHAnsi" w:hAnsiTheme="minorHAnsi" w:cstheme="minorHAnsi"/>
                <w:bCs/>
                <w:sz w:val="20"/>
                <w:szCs w:val="20"/>
              </w:rPr>
              <w:t xml:space="preserve">; </w:t>
            </w:r>
            <w:r w:rsidRPr="00AD1922">
              <w:rPr>
                <w:rFonts w:asciiTheme="minorHAnsi" w:hAnsiTheme="minorHAnsi" w:cstheme="minorHAnsi"/>
                <w:bCs/>
                <w:sz w:val="20"/>
                <w:szCs w:val="20"/>
              </w:rPr>
              <w:t>kolor czarny</w:t>
            </w:r>
          </w:p>
          <w:p w14:paraId="1E82D641" w14:textId="77777777" w:rsidR="00804E4F" w:rsidRDefault="00804E4F" w:rsidP="0000142C">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min. mysz bezprzewodowa, optyczna; </w:t>
            </w:r>
            <w:r w:rsidRPr="00AD1922">
              <w:rPr>
                <w:rFonts w:asciiTheme="minorHAnsi" w:hAnsiTheme="minorHAnsi" w:cstheme="minorHAnsi"/>
                <w:bCs/>
                <w:sz w:val="20"/>
                <w:szCs w:val="20"/>
              </w:rPr>
              <w:t>rozdzielczość min.1000 DPI</w:t>
            </w:r>
            <w:r>
              <w:rPr>
                <w:rFonts w:asciiTheme="minorHAnsi" w:hAnsiTheme="minorHAnsi" w:cstheme="minorHAnsi"/>
                <w:bCs/>
                <w:sz w:val="20"/>
                <w:szCs w:val="20"/>
              </w:rPr>
              <w:t xml:space="preserve">; liczba przycisków min.3; </w:t>
            </w:r>
            <w:r w:rsidRPr="00AD1922">
              <w:rPr>
                <w:rFonts w:asciiTheme="minorHAnsi" w:hAnsiTheme="minorHAnsi" w:cstheme="minorHAnsi"/>
                <w:bCs/>
                <w:sz w:val="20"/>
                <w:szCs w:val="20"/>
              </w:rPr>
              <w:t>kolor czarny</w:t>
            </w:r>
          </w:p>
          <w:p w14:paraId="1C6250A9" w14:textId="77777777" w:rsidR="00804E4F" w:rsidRPr="008C40F0" w:rsidRDefault="00804E4F" w:rsidP="0000142C">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r w:rsidRPr="00AD1922">
              <w:rPr>
                <w:rFonts w:asciiTheme="minorHAnsi" w:hAnsiTheme="minorHAnsi" w:cstheme="minorHAnsi"/>
                <w:bCs/>
                <w:sz w:val="20"/>
                <w:szCs w:val="20"/>
              </w:rPr>
              <w:t>1 bateria typu AA</w:t>
            </w:r>
            <w:r>
              <w:rPr>
                <w:rFonts w:asciiTheme="minorHAnsi" w:hAnsiTheme="minorHAnsi" w:cstheme="minorHAnsi"/>
                <w:bCs/>
                <w:sz w:val="20"/>
                <w:szCs w:val="20"/>
              </w:rPr>
              <w:t xml:space="preserve">; </w:t>
            </w:r>
            <w:r w:rsidRPr="00AD1922">
              <w:rPr>
                <w:rFonts w:asciiTheme="minorHAnsi" w:hAnsiTheme="minorHAnsi" w:cstheme="minorHAnsi"/>
                <w:bCs/>
                <w:sz w:val="20"/>
                <w:szCs w:val="20"/>
              </w:rPr>
              <w:t>2 baterie typu AAA</w:t>
            </w:r>
          </w:p>
        </w:tc>
      </w:tr>
    </w:tbl>
    <w:p w14:paraId="1AE0AB6D" w14:textId="77777777" w:rsidR="00EB22A9" w:rsidRPr="003A2EF9" w:rsidRDefault="00EB22A9" w:rsidP="00914B21">
      <w:pPr>
        <w:rPr>
          <w:rFonts w:ascii="Arial" w:hAnsi="Arial" w:cs="Arial"/>
        </w:rPr>
      </w:pPr>
    </w:p>
    <w:sectPr w:rsidR="00EB22A9" w:rsidRPr="003A2EF9" w:rsidSect="0000062B">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BA77B" w14:textId="77777777" w:rsidR="006A4206" w:rsidRDefault="006A4206">
      <w:r>
        <w:separator/>
      </w:r>
    </w:p>
  </w:endnote>
  <w:endnote w:type="continuationSeparator" w:id="0">
    <w:p w14:paraId="486D71C0" w14:textId="77777777" w:rsidR="006A4206" w:rsidRDefault="006A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495129"/>
      <w:docPartObj>
        <w:docPartGallery w:val="Page Numbers (Bottom of Page)"/>
        <w:docPartUnique/>
      </w:docPartObj>
    </w:sdtPr>
    <w:sdtEndPr/>
    <w:sdtContent>
      <w:sdt>
        <w:sdtPr>
          <w:id w:val="860082579"/>
          <w:docPartObj>
            <w:docPartGallery w:val="Page Numbers (Top of Page)"/>
            <w:docPartUnique/>
          </w:docPartObj>
        </w:sdtPr>
        <w:sdtEndPr/>
        <w:sdtContent>
          <w:p w14:paraId="455DA75A" w14:textId="4CC3ED4D" w:rsidR="00005027" w:rsidRDefault="00005027">
            <w:pPr>
              <w:pStyle w:val="Stopka"/>
              <w:jc w:val="right"/>
            </w:pPr>
            <w:r>
              <w:t xml:space="preserve">Strona </w:t>
            </w:r>
            <w:r w:rsidR="0000062B">
              <w:rPr>
                <w:b/>
                <w:bCs/>
              </w:rPr>
              <w:fldChar w:fldCharType="begin"/>
            </w:r>
            <w:r>
              <w:rPr>
                <w:b/>
                <w:bCs/>
              </w:rPr>
              <w:instrText>PAGE</w:instrText>
            </w:r>
            <w:r w:rsidR="0000062B">
              <w:rPr>
                <w:b/>
                <w:bCs/>
              </w:rPr>
              <w:fldChar w:fldCharType="separate"/>
            </w:r>
            <w:r w:rsidR="00D10A7D">
              <w:rPr>
                <w:b/>
                <w:bCs/>
                <w:noProof/>
              </w:rPr>
              <w:t>5</w:t>
            </w:r>
            <w:r w:rsidR="0000062B">
              <w:rPr>
                <w:b/>
                <w:bCs/>
              </w:rPr>
              <w:fldChar w:fldCharType="end"/>
            </w:r>
            <w:r>
              <w:t xml:space="preserve"> z </w:t>
            </w:r>
            <w:r w:rsidR="0000062B">
              <w:rPr>
                <w:b/>
                <w:bCs/>
              </w:rPr>
              <w:fldChar w:fldCharType="begin"/>
            </w:r>
            <w:r>
              <w:rPr>
                <w:b/>
                <w:bCs/>
              </w:rPr>
              <w:instrText>NUMPAGES</w:instrText>
            </w:r>
            <w:r w:rsidR="0000062B">
              <w:rPr>
                <w:b/>
                <w:bCs/>
              </w:rPr>
              <w:fldChar w:fldCharType="separate"/>
            </w:r>
            <w:r w:rsidR="00D10A7D">
              <w:rPr>
                <w:b/>
                <w:bCs/>
                <w:noProof/>
              </w:rPr>
              <w:t>5</w:t>
            </w:r>
            <w:r w:rsidR="0000062B">
              <w:rPr>
                <w:b/>
                <w:bCs/>
              </w:rPr>
              <w:fldChar w:fldCharType="end"/>
            </w:r>
          </w:p>
        </w:sdtContent>
      </w:sdt>
    </w:sdtContent>
  </w:sdt>
  <w:p w14:paraId="34EA0BBA" w14:textId="77777777" w:rsidR="00005027" w:rsidRDefault="000050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3C0BA" w14:textId="77777777" w:rsidR="006A4206" w:rsidRDefault="006A4206">
      <w:r>
        <w:separator/>
      </w:r>
    </w:p>
  </w:footnote>
  <w:footnote w:type="continuationSeparator" w:id="0">
    <w:p w14:paraId="038E5426" w14:textId="77777777" w:rsidR="006A4206" w:rsidRDefault="006A4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3C910" w14:textId="33B5F8E4" w:rsidR="00005027" w:rsidRDefault="00900625" w:rsidP="00005027">
    <w:pPr>
      <w:pStyle w:val="Nagwek"/>
      <w:jc w:val="right"/>
    </w:pPr>
    <w:r>
      <w:rPr>
        <w:noProof/>
      </w:rPr>
      <w:fldChar w:fldCharType="begin"/>
    </w:r>
    <w:r>
      <w:rPr>
        <w:noProof/>
      </w:rPr>
      <w:instrText xml:space="preserve"> FILENAME  \* FirstCap  \* MERGEFORMAT </w:instrText>
    </w:r>
    <w:r>
      <w:rPr>
        <w:noProof/>
      </w:rPr>
      <w:fldChar w:fldCharType="separate"/>
    </w:r>
    <w:r w:rsidR="004F73BF">
      <w:rPr>
        <w:noProof/>
      </w:rPr>
      <w:t>Załącznik nr 1.1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042C2"/>
    <w:multiLevelType w:val="hybridMultilevel"/>
    <w:tmpl w:val="A9E0989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917502"/>
    <w:multiLevelType w:val="hybridMultilevel"/>
    <w:tmpl w:val="1F987D2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46AB54B6"/>
    <w:multiLevelType w:val="hybridMultilevel"/>
    <w:tmpl w:val="0F080BD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7AF96B43"/>
    <w:multiLevelType w:val="multilevel"/>
    <w:tmpl w:val="8E5E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l-PL" w:vendorID="12" w:dllVersion="512" w:checkStyle="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8A"/>
    <w:rsid w:val="0000062B"/>
    <w:rsid w:val="00001CAC"/>
    <w:rsid w:val="00005027"/>
    <w:rsid w:val="0000613D"/>
    <w:rsid w:val="000B3282"/>
    <w:rsid w:val="000E4C06"/>
    <w:rsid w:val="0010438A"/>
    <w:rsid w:val="00157180"/>
    <w:rsid w:val="00193575"/>
    <w:rsid w:val="001A2250"/>
    <w:rsid w:val="001A4ECD"/>
    <w:rsid w:val="001A716B"/>
    <w:rsid w:val="001B5397"/>
    <w:rsid w:val="001C2ED9"/>
    <w:rsid w:val="001E3F86"/>
    <w:rsid w:val="001E7315"/>
    <w:rsid w:val="001F060C"/>
    <w:rsid w:val="0020195C"/>
    <w:rsid w:val="00225369"/>
    <w:rsid w:val="00246189"/>
    <w:rsid w:val="00254880"/>
    <w:rsid w:val="00254D7D"/>
    <w:rsid w:val="002922C9"/>
    <w:rsid w:val="00294AF7"/>
    <w:rsid w:val="00297A9A"/>
    <w:rsid w:val="002D5FC3"/>
    <w:rsid w:val="0030789E"/>
    <w:rsid w:val="00326F0F"/>
    <w:rsid w:val="00337078"/>
    <w:rsid w:val="003472C2"/>
    <w:rsid w:val="0037258D"/>
    <w:rsid w:val="0037713B"/>
    <w:rsid w:val="003A2EF9"/>
    <w:rsid w:val="003B26AE"/>
    <w:rsid w:val="00432B6E"/>
    <w:rsid w:val="004420FE"/>
    <w:rsid w:val="00491EFC"/>
    <w:rsid w:val="00493660"/>
    <w:rsid w:val="004B6BE5"/>
    <w:rsid w:val="004C0316"/>
    <w:rsid w:val="004C627C"/>
    <w:rsid w:val="004D4292"/>
    <w:rsid w:val="004E6B33"/>
    <w:rsid w:val="004F73BF"/>
    <w:rsid w:val="00546FE1"/>
    <w:rsid w:val="00547BE4"/>
    <w:rsid w:val="0058173E"/>
    <w:rsid w:val="005C32D0"/>
    <w:rsid w:val="005C40DE"/>
    <w:rsid w:val="005D1419"/>
    <w:rsid w:val="005E3DF5"/>
    <w:rsid w:val="005F51D2"/>
    <w:rsid w:val="00610FF0"/>
    <w:rsid w:val="00662BB1"/>
    <w:rsid w:val="00670EC5"/>
    <w:rsid w:val="00684B01"/>
    <w:rsid w:val="006963EF"/>
    <w:rsid w:val="006971E3"/>
    <w:rsid w:val="006A4206"/>
    <w:rsid w:val="006C3A46"/>
    <w:rsid w:val="006D0890"/>
    <w:rsid w:val="006D4F26"/>
    <w:rsid w:val="00703F5C"/>
    <w:rsid w:val="0079389F"/>
    <w:rsid w:val="007C7FB9"/>
    <w:rsid w:val="007E369F"/>
    <w:rsid w:val="0080116E"/>
    <w:rsid w:val="00804E4F"/>
    <w:rsid w:val="00877F61"/>
    <w:rsid w:val="008804C0"/>
    <w:rsid w:val="008A1680"/>
    <w:rsid w:val="008A245E"/>
    <w:rsid w:val="008A701D"/>
    <w:rsid w:val="008C146E"/>
    <w:rsid w:val="00900625"/>
    <w:rsid w:val="00914B21"/>
    <w:rsid w:val="00935D58"/>
    <w:rsid w:val="00981684"/>
    <w:rsid w:val="0098427A"/>
    <w:rsid w:val="009B4FAA"/>
    <w:rsid w:val="009D16BF"/>
    <w:rsid w:val="009D1A7B"/>
    <w:rsid w:val="00A170A3"/>
    <w:rsid w:val="00A26A01"/>
    <w:rsid w:val="00B450AF"/>
    <w:rsid w:val="00B65BF0"/>
    <w:rsid w:val="00C4653D"/>
    <w:rsid w:val="00C50967"/>
    <w:rsid w:val="00CA35EB"/>
    <w:rsid w:val="00CF703C"/>
    <w:rsid w:val="00D10A7D"/>
    <w:rsid w:val="00D214D1"/>
    <w:rsid w:val="00D3549C"/>
    <w:rsid w:val="00D5282E"/>
    <w:rsid w:val="00D60C57"/>
    <w:rsid w:val="00D74329"/>
    <w:rsid w:val="00DA28DC"/>
    <w:rsid w:val="00DB5AEC"/>
    <w:rsid w:val="00DF5A1B"/>
    <w:rsid w:val="00DF74B3"/>
    <w:rsid w:val="00DF7FAD"/>
    <w:rsid w:val="00E006C2"/>
    <w:rsid w:val="00E152A6"/>
    <w:rsid w:val="00E16180"/>
    <w:rsid w:val="00E20D8F"/>
    <w:rsid w:val="00E23BF8"/>
    <w:rsid w:val="00E27199"/>
    <w:rsid w:val="00E30DF1"/>
    <w:rsid w:val="00E50235"/>
    <w:rsid w:val="00E5391A"/>
    <w:rsid w:val="00E56970"/>
    <w:rsid w:val="00E64035"/>
    <w:rsid w:val="00E728CE"/>
    <w:rsid w:val="00E75869"/>
    <w:rsid w:val="00EB22A9"/>
    <w:rsid w:val="00EC690E"/>
    <w:rsid w:val="00ED0F59"/>
    <w:rsid w:val="00EE74F8"/>
    <w:rsid w:val="00F22E81"/>
    <w:rsid w:val="00F2595D"/>
    <w:rsid w:val="00F44B3F"/>
    <w:rsid w:val="00FC1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C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062B"/>
    <w:rPr>
      <w:sz w:val="24"/>
      <w:szCs w:val="24"/>
    </w:rPr>
  </w:style>
  <w:style w:type="paragraph" w:styleId="Nagwek1">
    <w:name w:val="heading 1"/>
    <w:basedOn w:val="Normalny"/>
    <w:next w:val="Normalny"/>
    <w:qFormat/>
    <w:rsid w:val="0000062B"/>
    <w:pPr>
      <w:keepNext/>
      <w:jc w:val="center"/>
      <w:outlineLvl w:val="0"/>
    </w:pPr>
    <w:rPr>
      <w:b/>
      <w:bCs/>
      <w:sz w:val="28"/>
    </w:rPr>
  </w:style>
  <w:style w:type="paragraph" w:styleId="Nagwek3">
    <w:name w:val="heading 3"/>
    <w:basedOn w:val="Normalny"/>
    <w:next w:val="Normalny"/>
    <w:link w:val="Nagwek3Znak"/>
    <w:uiPriority w:val="9"/>
    <w:semiHidden/>
    <w:unhideWhenUsed/>
    <w:qFormat/>
    <w:rsid w:val="008A245E"/>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00062B"/>
    <w:rPr>
      <w:rFonts w:ascii="Tahoma" w:hAnsi="Tahoma" w:cs="Tahoma"/>
      <w:sz w:val="16"/>
      <w:szCs w:val="16"/>
    </w:rPr>
  </w:style>
  <w:style w:type="character" w:customStyle="1" w:styleId="olttablecontentcfg">
    <w:name w:val="olt_table_content_cfg"/>
    <w:basedOn w:val="Domylnaczcionkaakapitu"/>
    <w:rsid w:val="0000062B"/>
  </w:style>
  <w:style w:type="paragraph" w:styleId="Tekstprzypisukocowego">
    <w:name w:val="endnote text"/>
    <w:basedOn w:val="Normalny"/>
    <w:semiHidden/>
    <w:rsid w:val="0000062B"/>
    <w:rPr>
      <w:sz w:val="20"/>
      <w:szCs w:val="20"/>
    </w:rPr>
  </w:style>
  <w:style w:type="character" w:customStyle="1" w:styleId="TekstprzypisukocowegoZnak">
    <w:name w:val="Tekst przypisu końcowego Znak"/>
    <w:basedOn w:val="Domylnaczcionkaakapitu"/>
    <w:rsid w:val="0000062B"/>
  </w:style>
  <w:style w:type="character" w:styleId="Odwoanieprzypisukocowego">
    <w:name w:val="endnote reference"/>
    <w:semiHidden/>
    <w:rsid w:val="0000062B"/>
    <w:rPr>
      <w:vertAlign w:val="superscript"/>
    </w:rPr>
  </w:style>
  <w:style w:type="paragraph" w:styleId="Nagwek">
    <w:name w:val="header"/>
    <w:basedOn w:val="Normalny"/>
    <w:link w:val="NagwekZnak"/>
    <w:uiPriority w:val="99"/>
    <w:unhideWhenUsed/>
    <w:rsid w:val="00005027"/>
    <w:pPr>
      <w:tabs>
        <w:tab w:val="center" w:pos="4536"/>
        <w:tab w:val="right" w:pos="9072"/>
      </w:tabs>
    </w:pPr>
  </w:style>
  <w:style w:type="character" w:customStyle="1" w:styleId="NagwekZnak">
    <w:name w:val="Nagłówek Znak"/>
    <w:basedOn w:val="Domylnaczcionkaakapitu"/>
    <w:link w:val="Nagwek"/>
    <w:uiPriority w:val="99"/>
    <w:rsid w:val="00005027"/>
    <w:rPr>
      <w:sz w:val="24"/>
      <w:szCs w:val="24"/>
    </w:rPr>
  </w:style>
  <w:style w:type="paragraph" w:styleId="Stopka">
    <w:name w:val="footer"/>
    <w:basedOn w:val="Normalny"/>
    <w:link w:val="StopkaZnak"/>
    <w:uiPriority w:val="99"/>
    <w:unhideWhenUsed/>
    <w:rsid w:val="00005027"/>
    <w:pPr>
      <w:tabs>
        <w:tab w:val="center" w:pos="4536"/>
        <w:tab w:val="right" w:pos="9072"/>
      </w:tabs>
    </w:pPr>
  </w:style>
  <w:style w:type="character" w:customStyle="1" w:styleId="StopkaZnak">
    <w:name w:val="Stopka Znak"/>
    <w:basedOn w:val="Domylnaczcionkaakapitu"/>
    <w:link w:val="Stopka"/>
    <w:uiPriority w:val="99"/>
    <w:rsid w:val="00005027"/>
    <w:rPr>
      <w:sz w:val="24"/>
      <w:szCs w:val="24"/>
    </w:rPr>
  </w:style>
  <w:style w:type="paragraph" w:styleId="Akapitzlist">
    <w:name w:val="List Paragraph"/>
    <w:basedOn w:val="Normalny"/>
    <w:uiPriority w:val="34"/>
    <w:qFormat/>
    <w:rsid w:val="00254D7D"/>
    <w:pPr>
      <w:ind w:left="720"/>
      <w:contextualSpacing/>
    </w:pPr>
  </w:style>
  <w:style w:type="character" w:customStyle="1" w:styleId="Nagwek3Znak">
    <w:name w:val="Nagłówek 3 Znak"/>
    <w:basedOn w:val="Domylnaczcionkaakapitu"/>
    <w:link w:val="Nagwek3"/>
    <w:uiPriority w:val="9"/>
    <w:semiHidden/>
    <w:rsid w:val="008A245E"/>
    <w:rPr>
      <w:rFonts w:asciiTheme="majorHAnsi" w:eastAsiaTheme="majorEastAsia" w:hAnsiTheme="majorHAnsi" w:cstheme="majorBidi"/>
      <w:color w:val="243F60" w:themeColor="accent1" w:themeShade="7F"/>
      <w:sz w:val="24"/>
      <w:szCs w:val="24"/>
    </w:rPr>
  </w:style>
  <w:style w:type="character" w:styleId="Hipercze">
    <w:name w:val="Hyperlink"/>
    <w:rsid w:val="00804E4F"/>
    <w:rPr>
      <w:color w:val="0000FF"/>
      <w:u w:val="single"/>
    </w:rPr>
  </w:style>
  <w:style w:type="character" w:styleId="Odwoaniedokomentarza">
    <w:name w:val="annotation reference"/>
    <w:basedOn w:val="Domylnaczcionkaakapitu"/>
    <w:uiPriority w:val="99"/>
    <w:semiHidden/>
    <w:unhideWhenUsed/>
    <w:rsid w:val="00E728CE"/>
    <w:rPr>
      <w:sz w:val="16"/>
      <w:szCs w:val="16"/>
    </w:rPr>
  </w:style>
  <w:style w:type="paragraph" w:styleId="Tekstkomentarza">
    <w:name w:val="annotation text"/>
    <w:basedOn w:val="Normalny"/>
    <w:link w:val="TekstkomentarzaZnak"/>
    <w:uiPriority w:val="99"/>
    <w:semiHidden/>
    <w:unhideWhenUsed/>
    <w:rsid w:val="00E728CE"/>
    <w:rPr>
      <w:sz w:val="20"/>
      <w:szCs w:val="20"/>
    </w:rPr>
  </w:style>
  <w:style w:type="character" w:customStyle="1" w:styleId="TekstkomentarzaZnak">
    <w:name w:val="Tekst komentarza Znak"/>
    <w:basedOn w:val="Domylnaczcionkaakapitu"/>
    <w:link w:val="Tekstkomentarza"/>
    <w:uiPriority w:val="99"/>
    <w:semiHidden/>
    <w:rsid w:val="00E728CE"/>
  </w:style>
  <w:style w:type="paragraph" w:styleId="Tematkomentarza">
    <w:name w:val="annotation subject"/>
    <w:basedOn w:val="Tekstkomentarza"/>
    <w:next w:val="Tekstkomentarza"/>
    <w:link w:val="TematkomentarzaZnak"/>
    <w:uiPriority w:val="99"/>
    <w:semiHidden/>
    <w:unhideWhenUsed/>
    <w:rsid w:val="00E728CE"/>
    <w:rPr>
      <w:b/>
      <w:bCs/>
    </w:rPr>
  </w:style>
  <w:style w:type="character" w:customStyle="1" w:styleId="TematkomentarzaZnak">
    <w:name w:val="Temat komentarza Znak"/>
    <w:basedOn w:val="TekstkomentarzaZnak"/>
    <w:link w:val="Tematkomentarza"/>
    <w:uiPriority w:val="99"/>
    <w:semiHidden/>
    <w:rsid w:val="00E728CE"/>
    <w:rPr>
      <w:b/>
      <w:bCs/>
    </w:rPr>
  </w:style>
  <w:style w:type="paragraph" w:styleId="Poprawka">
    <w:name w:val="Revision"/>
    <w:hidden/>
    <w:uiPriority w:val="99"/>
    <w:semiHidden/>
    <w:rsid w:val="00E728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2309</Words>
  <Characters>15492</Characters>
  <Application>Microsoft Office Word</Application>
  <DocSecurity>0</DocSecurity>
  <Lines>129</Lines>
  <Paragraphs>35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2023-09-08T11:21:00Z</dcterms:created>
  <dcterms:modified xsi:type="dcterms:W3CDTF">2023-09-12T11:26:00Z</dcterms:modified>
</cp:coreProperties>
</file>