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49" w:rsidRDefault="00611449" w:rsidP="008D03C2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OPIS DO PROJEKTU ARCHITEKTONICZNO – BUDOWLANEGO</w:t>
      </w:r>
      <w:r w:rsidR="006A36BC">
        <w:rPr>
          <w:rFonts w:cstheme="minorHAnsi"/>
          <w:b/>
          <w:i/>
          <w:sz w:val="28"/>
          <w:szCs w:val="28"/>
        </w:rPr>
        <w:t xml:space="preserve"> – ANEKS 1</w:t>
      </w:r>
    </w:p>
    <w:p w:rsidR="002C2FA7" w:rsidRDefault="002C2FA7" w:rsidP="008D03C2">
      <w:pPr>
        <w:jc w:val="center"/>
        <w:rPr>
          <w:rFonts w:cstheme="minorHAnsi"/>
          <w:b/>
          <w:i/>
          <w:sz w:val="28"/>
          <w:szCs w:val="28"/>
        </w:rPr>
      </w:pPr>
    </w:p>
    <w:p w:rsidR="007F630E" w:rsidRPr="00942B99" w:rsidRDefault="007F630E" w:rsidP="007F630E">
      <w:pPr>
        <w:pStyle w:val="Akapitzlist"/>
        <w:numPr>
          <w:ilvl w:val="0"/>
          <w:numId w:val="9"/>
        </w:numPr>
        <w:rPr>
          <w:rFonts w:cstheme="minorHAnsi"/>
          <w:b/>
          <w:i/>
        </w:rPr>
      </w:pPr>
      <w:r w:rsidRPr="00942B99">
        <w:rPr>
          <w:rFonts w:cstheme="minorHAnsi"/>
          <w:b/>
          <w:i/>
        </w:rPr>
        <w:t xml:space="preserve">Przedmiot opracowania </w:t>
      </w:r>
    </w:p>
    <w:p w:rsidR="007F630E" w:rsidRPr="00FF0559" w:rsidRDefault="007F630E" w:rsidP="007F630E">
      <w:pPr>
        <w:pStyle w:val="Akapitzlist"/>
        <w:ind w:firstLine="696"/>
        <w:rPr>
          <w:rFonts w:cstheme="minorHAnsi"/>
        </w:rPr>
      </w:pPr>
      <w:r w:rsidRPr="00FF0559">
        <w:rPr>
          <w:rFonts w:cstheme="minorHAnsi"/>
        </w:rPr>
        <w:t>Przedmiotem opracowania jest</w:t>
      </w:r>
      <w:r>
        <w:rPr>
          <w:rFonts w:cstheme="minorHAnsi"/>
        </w:rPr>
        <w:t xml:space="preserve"> przebudowa pomieszczenia biurowego </w:t>
      </w:r>
      <w:r w:rsidR="004B7F6C">
        <w:rPr>
          <w:rFonts w:cstheme="minorHAnsi"/>
        </w:rPr>
        <w:t xml:space="preserve">na pomieszczenie kinowe </w:t>
      </w:r>
      <w:r>
        <w:rPr>
          <w:rFonts w:cstheme="minorHAnsi"/>
        </w:rPr>
        <w:t>w budynku Centrum Kultury i Turystyki w Debrznie dz. nr 662/2</w:t>
      </w:r>
    </w:p>
    <w:p w:rsidR="007F630E" w:rsidRDefault="007F630E" w:rsidP="007F630E">
      <w:pPr>
        <w:pStyle w:val="Akapitzlist"/>
        <w:rPr>
          <w:rFonts w:cstheme="minorHAnsi"/>
        </w:rPr>
      </w:pPr>
    </w:p>
    <w:p w:rsidR="007F630E" w:rsidRPr="00996729" w:rsidRDefault="007F630E" w:rsidP="007F630E">
      <w:pPr>
        <w:pStyle w:val="Akapitzlist"/>
        <w:spacing w:line="240" w:lineRule="auto"/>
        <w:rPr>
          <w:rFonts w:cstheme="minorHAnsi"/>
          <w:b/>
        </w:rPr>
      </w:pPr>
      <w:r w:rsidRPr="00996729">
        <w:rPr>
          <w:rFonts w:cstheme="minorHAnsi"/>
          <w:b/>
        </w:rPr>
        <w:t xml:space="preserve">Inwestor: </w:t>
      </w:r>
      <w:r>
        <w:rPr>
          <w:rFonts w:cstheme="minorHAnsi"/>
          <w:b/>
        </w:rPr>
        <w:t xml:space="preserve"> </w:t>
      </w:r>
      <w:r w:rsidR="004C70CE">
        <w:rPr>
          <w:rFonts w:cstheme="minorHAnsi"/>
          <w:b/>
        </w:rPr>
        <w:t>Miasto i Gmina Debrzno</w:t>
      </w:r>
    </w:p>
    <w:p w:rsidR="007F630E" w:rsidRPr="00FF0559" w:rsidRDefault="007F630E" w:rsidP="007F630E">
      <w:pPr>
        <w:pStyle w:val="Akapitzlist"/>
        <w:spacing w:line="240" w:lineRule="auto"/>
        <w:rPr>
          <w:rFonts w:cstheme="minorHAnsi"/>
        </w:rPr>
      </w:pPr>
    </w:p>
    <w:p w:rsidR="007F630E" w:rsidRPr="00996729" w:rsidRDefault="007F630E" w:rsidP="007F630E">
      <w:pPr>
        <w:pStyle w:val="Akapitzlist"/>
        <w:spacing w:line="240" w:lineRule="auto"/>
        <w:rPr>
          <w:rFonts w:cstheme="minorHAnsi"/>
          <w:b/>
        </w:rPr>
      </w:pPr>
      <w:r w:rsidRPr="00996729">
        <w:rPr>
          <w:rFonts w:cstheme="minorHAnsi"/>
          <w:b/>
        </w:rPr>
        <w:t xml:space="preserve">Adres: </w:t>
      </w:r>
      <w:r>
        <w:rPr>
          <w:rFonts w:cstheme="minorHAnsi"/>
          <w:b/>
        </w:rPr>
        <w:t xml:space="preserve">ul. </w:t>
      </w:r>
      <w:r w:rsidR="004C70CE">
        <w:rPr>
          <w:rFonts w:cstheme="minorHAnsi"/>
          <w:b/>
        </w:rPr>
        <w:t>Traugutta 2, 77-310 Debrzno</w:t>
      </w:r>
    </w:p>
    <w:p w:rsidR="007F630E" w:rsidRDefault="007F630E" w:rsidP="007F630E">
      <w:pPr>
        <w:pStyle w:val="Akapitzlist"/>
        <w:spacing w:line="240" w:lineRule="auto"/>
        <w:rPr>
          <w:rFonts w:cstheme="minorHAnsi"/>
        </w:rPr>
      </w:pPr>
    </w:p>
    <w:p w:rsidR="007F630E" w:rsidRPr="00996729" w:rsidRDefault="007F630E" w:rsidP="007F630E">
      <w:pPr>
        <w:pStyle w:val="Akapitzlist"/>
        <w:spacing w:line="240" w:lineRule="auto"/>
        <w:rPr>
          <w:rFonts w:cstheme="minorHAnsi"/>
          <w:b/>
        </w:rPr>
      </w:pPr>
      <w:r w:rsidRPr="00996729">
        <w:rPr>
          <w:rFonts w:cstheme="minorHAnsi"/>
          <w:b/>
        </w:rPr>
        <w:t>Adres budowy:</w:t>
      </w:r>
      <w:r w:rsidRPr="00BE1587">
        <w:rPr>
          <w:rFonts w:cstheme="minorHAnsi"/>
          <w:b/>
        </w:rPr>
        <w:t xml:space="preserve"> </w:t>
      </w:r>
      <w:r>
        <w:rPr>
          <w:rFonts w:cstheme="minorHAnsi"/>
          <w:b/>
        </w:rPr>
        <w:t>ul. Wojska Polskiego 2, 77-310 Debrzno, dz. nr 662/2</w:t>
      </w:r>
    </w:p>
    <w:p w:rsidR="007F630E" w:rsidRPr="00FF0559" w:rsidRDefault="007F630E" w:rsidP="007F630E">
      <w:pPr>
        <w:pStyle w:val="Akapitzlist"/>
        <w:rPr>
          <w:rFonts w:cstheme="minorHAnsi"/>
        </w:rPr>
      </w:pPr>
    </w:p>
    <w:p w:rsidR="007F630E" w:rsidRPr="00C41CD4" w:rsidRDefault="007F630E" w:rsidP="007F630E">
      <w:pPr>
        <w:pStyle w:val="Akapitzlist"/>
        <w:numPr>
          <w:ilvl w:val="0"/>
          <w:numId w:val="9"/>
        </w:numPr>
        <w:rPr>
          <w:rFonts w:cstheme="minorHAnsi"/>
          <w:b/>
          <w:i/>
        </w:rPr>
      </w:pPr>
      <w:r w:rsidRPr="00C41CD4">
        <w:rPr>
          <w:rFonts w:cstheme="minorHAnsi"/>
          <w:b/>
          <w:i/>
        </w:rPr>
        <w:t xml:space="preserve">Podstawa opracowania </w:t>
      </w:r>
    </w:p>
    <w:p w:rsidR="007F630E" w:rsidRPr="00FF0559" w:rsidRDefault="007F630E" w:rsidP="007F630E">
      <w:pPr>
        <w:pStyle w:val="Akapitzlist"/>
        <w:rPr>
          <w:rFonts w:cstheme="minorHAnsi"/>
        </w:rPr>
      </w:pPr>
      <w:r w:rsidRPr="00FF0559">
        <w:rPr>
          <w:rFonts w:cstheme="minorHAnsi"/>
        </w:rPr>
        <w:t>- Uzgodnienia z inwestorem</w:t>
      </w:r>
    </w:p>
    <w:p w:rsidR="007F630E" w:rsidRPr="00FF0559" w:rsidRDefault="007F630E" w:rsidP="007F630E">
      <w:pPr>
        <w:pStyle w:val="Akapitzlist"/>
        <w:rPr>
          <w:rFonts w:cstheme="minorHAnsi"/>
        </w:rPr>
      </w:pPr>
      <w:r w:rsidRPr="00FF0559">
        <w:rPr>
          <w:rFonts w:cstheme="minorHAnsi"/>
        </w:rPr>
        <w:t>- Wizja lokalna</w:t>
      </w:r>
    </w:p>
    <w:p w:rsidR="007F630E" w:rsidRPr="00FF0559" w:rsidRDefault="007F630E" w:rsidP="007F630E">
      <w:pPr>
        <w:pStyle w:val="Akapitzlist"/>
        <w:rPr>
          <w:rFonts w:cstheme="minorHAnsi"/>
        </w:rPr>
      </w:pPr>
      <w:r>
        <w:rPr>
          <w:rFonts w:cstheme="minorHAnsi"/>
        </w:rPr>
        <w:t>- Projekt architektoniczno – budowlany</w:t>
      </w:r>
    </w:p>
    <w:p w:rsidR="007F630E" w:rsidRPr="00AB4209" w:rsidRDefault="007F630E" w:rsidP="007F630E">
      <w:pPr>
        <w:pStyle w:val="Akapitzlist"/>
        <w:rPr>
          <w:rFonts w:cstheme="minorHAnsi"/>
        </w:rPr>
      </w:pPr>
      <w:r w:rsidRPr="00FF0559">
        <w:rPr>
          <w:rFonts w:cstheme="minorHAnsi"/>
        </w:rPr>
        <w:t xml:space="preserve">- Rozporządzenie Ministra Infrastruktury z dnia 12 kwietnia 2002 r. w sprawie warunków </w:t>
      </w:r>
      <w:r w:rsidRPr="00AB4209">
        <w:rPr>
          <w:rFonts w:cstheme="minorHAnsi"/>
        </w:rPr>
        <w:t>technicznych jakim powinny odpowiadać budynki i ich usytuowanie. Stan prawny na 01.01.2014</w:t>
      </w:r>
    </w:p>
    <w:p w:rsidR="001B274B" w:rsidRDefault="001B274B" w:rsidP="00611449">
      <w:pPr>
        <w:pStyle w:val="Akapitzlist"/>
        <w:rPr>
          <w:rFonts w:cstheme="minorHAnsi"/>
        </w:rPr>
      </w:pPr>
    </w:p>
    <w:p w:rsidR="001B274B" w:rsidRPr="00CD1F36" w:rsidRDefault="001B274B" w:rsidP="00E3799A">
      <w:pPr>
        <w:pStyle w:val="Akapitzlist"/>
        <w:numPr>
          <w:ilvl w:val="0"/>
          <w:numId w:val="9"/>
        </w:numPr>
        <w:rPr>
          <w:rFonts w:cstheme="minorHAnsi"/>
          <w:b/>
          <w:i/>
        </w:rPr>
      </w:pPr>
      <w:r w:rsidRPr="00CD1F36">
        <w:rPr>
          <w:rFonts w:cstheme="minorHAnsi"/>
          <w:b/>
          <w:i/>
        </w:rPr>
        <w:t>Charakterystyka budynku</w:t>
      </w:r>
    </w:p>
    <w:p w:rsidR="001B274B" w:rsidRDefault="001B274B" w:rsidP="00B90264">
      <w:pPr>
        <w:pStyle w:val="Akapitzlist"/>
        <w:rPr>
          <w:rFonts w:cstheme="minorHAnsi"/>
        </w:rPr>
      </w:pPr>
      <w:r>
        <w:rPr>
          <w:rFonts w:cstheme="minorHAnsi"/>
        </w:rPr>
        <w:tab/>
      </w:r>
      <w:r w:rsidR="00B90264">
        <w:rPr>
          <w:rFonts w:cstheme="minorHAnsi"/>
        </w:rPr>
        <w:t xml:space="preserve">Przedmiotowy budynek to budynek </w:t>
      </w:r>
      <w:r w:rsidR="007F630E">
        <w:rPr>
          <w:rFonts w:cstheme="minorHAnsi"/>
        </w:rPr>
        <w:t>Centrum Kultury i Turystyki w Debrznie</w:t>
      </w:r>
      <w:r w:rsidR="00B90264">
        <w:rPr>
          <w:rFonts w:cstheme="minorHAnsi"/>
        </w:rPr>
        <w:t xml:space="preserve">. Budynek </w:t>
      </w:r>
      <w:r w:rsidR="007F630E">
        <w:rPr>
          <w:rFonts w:cstheme="minorHAnsi"/>
        </w:rPr>
        <w:t>podpiwniczony, II piętrowy z poddaszem częściowo użytkowym, dach dwuspadowy o kącie nachylenia 28</w:t>
      </w:r>
      <w:r w:rsidR="007F630E">
        <w:rPr>
          <w:rFonts w:cstheme="minorHAnsi"/>
          <w:vertAlign w:val="superscript"/>
        </w:rPr>
        <w:t xml:space="preserve">o </w:t>
      </w:r>
      <w:r w:rsidR="002C2FA7">
        <w:rPr>
          <w:rFonts w:cstheme="minorHAnsi"/>
        </w:rPr>
        <w:t xml:space="preserve"> </w:t>
      </w:r>
    </w:p>
    <w:p w:rsidR="00653D76" w:rsidRDefault="00653D76" w:rsidP="001B274B">
      <w:pPr>
        <w:pStyle w:val="Akapitzlist"/>
        <w:rPr>
          <w:rFonts w:cstheme="minorHAnsi"/>
        </w:rPr>
      </w:pPr>
    </w:p>
    <w:p w:rsidR="00653D76" w:rsidRPr="00653D76" w:rsidRDefault="002C2FA7" w:rsidP="00E3799A">
      <w:pPr>
        <w:pStyle w:val="Akapitzlist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>Charakterystyka przedsięwzięcia</w:t>
      </w:r>
    </w:p>
    <w:p w:rsidR="00611449" w:rsidRPr="002C2FA7" w:rsidRDefault="002C2FA7" w:rsidP="002C2FA7">
      <w:pPr>
        <w:ind w:left="708" w:firstLine="708"/>
        <w:rPr>
          <w:rFonts w:cstheme="minorHAnsi"/>
        </w:rPr>
      </w:pPr>
      <w:r w:rsidRPr="002C2FA7">
        <w:rPr>
          <w:rFonts w:cstheme="minorHAnsi"/>
        </w:rPr>
        <w:t xml:space="preserve">Projektowana </w:t>
      </w:r>
      <w:r w:rsidR="007F630E">
        <w:rPr>
          <w:rFonts w:cstheme="minorHAnsi"/>
        </w:rPr>
        <w:t>przedsięwzięcie ma na celu przebudowę pomieszczeń biurowych na potrzeby Sali kinowej. Przedmiotowe przedsięwzięcie polega na rozebraniu istniejącej ściany usztywniającej – w jej miejsce zamocowanie podciągu stalowe</w:t>
      </w:r>
      <w:r w:rsidR="007F4503">
        <w:rPr>
          <w:rFonts w:cstheme="minorHAnsi"/>
        </w:rPr>
        <w:t>go, oraz budowę podestu widowni, do którego zostaną przymocowane fotele. Projektowane obciążenie sali to maksymalnie 30 osób.</w:t>
      </w:r>
    </w:p>
    <w:p w:rsidR="00653D76" w:rsidRPr="00653D76" w:rsidRDefault="00653D76" w:rsidP="00653D76">
      <w:pPr>
        <w:pStyle w:val="Akapitzlist"/>
        <w:rPr>
          <w:rFonts w:cstheme="minorHAnsi"/>
        </w:rPr>
      </w:pPr>
    </w:p>
    <w:p w:rsidR="00673FDC" w:rsidRPr="007F630E" w:rsidRDefault="002C2FA7" w:rsidP="007F630E">
      <w:pPr>
        <w:pStyle w:val="Akapitzlist"/>
        <w:numPr>
          <w:ilvl w:val="0"/>
          <w:numId w:val="9"/>
        </w:numPr>
        <w:rPr>
          <w:rFonts w:cstheme="minorHAnsi"/>
          <w:b/>
          <w:i/>
        </w:rPr>
      </w:pPr>
      <w:r>
        <w:rPr>
          <w:rFonts w:cstheme="minorHAnsi"/>
          <w:b/>
          <w:i/>
        </w:rPr>
        <w:t>Dane kubaturowe</w:t>
      </w:r>
      <w:r w:rsidR="006A36BC">
        <w:rPr>
          <w:rFonts w:cstheme="minorHAnsi"/>
          <w:b/>
          <w:i/>
        </w:rPr>
        <w:t xml:space="preserve"> – </w:t>
      </w:r>
      <w:r w:rsidR="006A36BC" w:rsidRPr="006A36BC">
        <w:rPr>
          <w:rFonts w:cstheme="minorHAnsi"/>
          <w:i/>
        </w:rPr>
        <w:t>bez zmian</w:t>
      </w:r>
    </w:p>
    <w:p w:rsidR="00653D76" w:rsidRPr="00833942" w:rsidRDefault="00653D76" w:rsidP="00653D76">
      <w:pPr>
        <w:widowControl w:val="0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/>
        <w:ind w:left="851"/>
        <w:rPr>
          <w:rFonts w:cstheme="minorHAnsi"/>
          <w:kern w:val="1"/>
          <w:lang w:eastAsia="ar-SA"/>
        </w:rPr>
      </w:pPr>
    </w:p>
    <w:p w:rsidR="00653D76" w:rsidRPr="00653D76" w:rsidRDefault="00653D76" w:rsidP="00E3799A">
      <w:pPr>
        <w:pStyle w:val="Akapitzlist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E475E3">
        <w:rPr>
          <w:rFonts w:cstheme="minorHAnsi"/>
          <w:b/>
        </w:rPr>
        <w:t xml:space="preserve">Analiza </w:t>
      </w:r>
      <w:r w:rsidR="00695A12">
        <w:rPr>
          <w:rFonts w:cstheme="minorHAnsi"/>
          <w:b/>
        </w:rPr>
        <w:t>nasłonecznienia pomieszczenia</w:t>
      </w:r>
      <w:r w:rsidR="006A36BC">
        <w:rPr>
          <w:rFonts w:cstheme="minorHAnsi"/>
          <w:b/>
        </w:rPr>
        <w:t xml:space="preserve"> –</w:t>
      </w:r>
      <w:r w:rsidR="006A36BC" w:rsidRPr="006A36BC">
        <w:rPr>
          <w:rFonts w:cstheme="minorHAnsi"/>
        </w:rPr>
        <w:t>bez zmian</w:t>
      </w:r>
    </w:p>
    <w:p w:rsidR="00EE4A21" w:rsidRPr="00DC3437" w:rsidRDefault="00EE4A21" w:rsidP="00653D76">
      <w:pPr>
        <w:pStyle w:val="Akapitzlist"/>
        <w:rPr>
          <w:rFonts w:cstheme="minorHAnsi"/>
          <w:b/>
        </w:rPr>
      </w:pPr>
    </w:p>
    <w:p w:rsidR="00EE4A21" w:rsidRDefault="00EE4A21" w:rsidP="00E3799A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b/>
          <w:i/>
        </w:rPr>
        <w:t>Dostępność dla osób niepełnosprawnych</w:t>
      </w:r>
      <w:r>
        <w:rPr>
          <w:rFonts w:cstheme="minorHAnsi"/>
        </w:rPr>
        <w:t xml:space="preserve"> – </w:t>
      </w:r>
      <w:r w:rsidR="006A36BC">
        <w:rPr>
          <w:rFonts w:cstheme="minorHAnsi"/>
        </w:rPr>
        <w:t>bez zmian</w:t>
      </w:r>
    </w:p>
    <w:p w:rsidR="00504BDE" w:rsidRDefault="00504BDE" w:rsidP="00EE4A21">
      <w:pPr>
        <w:pStyle w:val="Akapitzlist"/>
        <w:rPr>
          <w:rFonts w:cstheme="minorHAnsi"/>
        </w:rPr>
      </w:pPr>
    </w:p>
    <w:p w:rsidR="006358C3" w:rsidRPr="00E421DF" w:rsidRDefault="00E421DF" w:rsidP="00E3799A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E421DF">
        <w:rPr>
          <w:rFonts w:cstheme="minorHAnsi"/>
          <w:b/>
        </w:rPr>
        <w:t>Instalacje wewnętrzne</w:t>
      </w:r>
      <w:r>
        <w:rPr>
          <w:rFonts w:cstheme="minorHAnsi"/>
          <w:b/>
        </w:rPr>
        <w:t xml:space="preserve"> – </w:t>
      </w:r>
      <w:r w:rsidR="006A36BC">
        <w:rPr>
          <w:rFonts w:cstheme="minorHAnsi"/>
        </w:rPr>
        <w:t>bez zmian</w:t>
      </w:r>
    </w:p>
    <w:p w:rsidR="00992CC9" w:rsidRDefault="00992CC9" w:rsidP="00992CC9">
      <w:pPr>
        <w:pStyle w:val="Akapitzlist"/>
        <w:ind w:firstLine="696"/>
        <w:rPr>
          <w:rFonts w:cstheme="minorHAnsi"/>
        </w:rPr>
      </w:pPr>
    </w:p>
    <w:p w:rsidR="006A36BC" w:rsidRDefault="006A36BC" w:rsidP="00992CC9">
      <w:pPr>
        <w:pStyle w:val="Akapitzlist"/>
        <w:ind w:firstLine="696"/>
        <w:rPr>
          <w:rFonts w:cstheme="minorHAnsi"/>
        </w:rPr>
      </w:pPr>
    </w:p>
    <w:p w:rsidR="006A36BC" w:rsidRPr="00992CC9" w:rsidRDefault="006A36BC" w:rsidP="00992CC9">
      <w:pPr>
        <w:pStyle w:val="Akapitzlist"/>
        <w:ind w:firstLine="696"/>
        <w:rPr>
          <w:rFonts w:cstheme="minorHAnsi"/>
        </w:rPr>
      </w:pPr>
    </w:p>
    <w:p w:rsidR="006F01BB" w:rsidRPr="006F01BB" w:rsidRDefault="00653D76" w:rsidP="006F01BB">
      <w:pPr>
        <w:pStyle w:val="Akapitzlist"/>
        <w:numPr>
          <w:ilvl w:val="0"/>
          <w:numId w:val="9"/>
        </w:numPr>
        <w:rPr>
          <w:rFonts w:cstheme="minorHAnsi"/>
          <w:b/>
          <w:i/>
        </w:rPr>
      </w:pPr>
      <w:r w:rsidRPr="00653D76">
        <w:rPr>
          <w:rFonts w:cstheme="minorHAnsi"/>
          <w:b/>
          <w:i/>
        </w:rPr>
        <w:lastRenderedPageBreak/>
        <w:t xml:space="preserve">Spełnienie wymagań </w:t>
      </w:r>
      <w:r w:rsidR="00992CC9">
        <w:rPr>
          <w:rFonts w:cstheme="minorHAnsi"/>
          <w:b/>
          <w:i/>
        </w:rPr>
        <w:t>art</w:t>
      </w:r>
      <w:r w:rsidRPr="00653D76">
        <w:rPr>
          <w:rFonts w:cstheme="minorHAnsi"/>
          <w:b/>
          <w:i/>
        </w:rPr>
        <w:t>. 5 Prawa Budowlanego</w:t>
      </w:r>
    </w:p>
    <w:p w:rsidR="00653D76" w:rsidRPr="00FF0559" w:rsidRDefault="00653D76" w:rsidP="00653D76">
      <w:pPr>
        <w:pStyle w:val="Akapitzlist"/>
        <w:rPr>
          <w:rFonts w:cstheme="minorHAnsi"/>
        </w:rPr>
      </w:pPr>
    </w:p>
    <w:p w:rsidR="00653D76" w:rsidRPr="00FF0559" w:rsidRDefault="00653D76" w:rsidP="00653D76">
      <w:pPr>
        <w:pStyle w:val="Akapitzlist"/>
        <w:rPr>
          <w:rFonts w:cstheme="minorHAnsi"/>
        </w:rPr>
      </w:pPr>
      <w:r w:rsidRPr="00FF0559">
        <w:rPr>
          <w:rFonts w:cstheme="minorHAnsi"/>
        </w:rPr>
        <w:t xml:space="preserve">- Bezpieczeństwo konstrukcji </w:t>
      </w:r>
      <w:r w:rsidR="00992CC9">
        <w:rPr>
          <w:rFonts w:cstheme="minorHAnsi"/>
        </w:rPr>
        <w:t>–</w:t>
      </w:r>
      <w:r w:rsidR="000174D2">
        <w:rPr>
          <w:rFonts w:cstheme="minorHAnsi"/>
        </w:rPr>
        <w:t xml:space="preserve"> </w:t>
      </w:r>
      <w:r w:rsidRPr="00FF0559">
        <w:rPr>
          <w:rFonts w:cstheme="minorHAnsi"/>
        </w:rPr>
        <w:t>zapewniono projektując zgodnie z odpowiednimi normami</w:t>
      </w:r>
    </w:p>
    <w:p w:rsidR="00653D76" w:rsidRDefault="00653D76" w:rsidP="00653D76">
      <w:pPr>
        <w:pStyle w:val="Akapitzlist"/>
        <w:rPr>
          <w:rFonts w:cstheme="minorHAnsi"/>
        </w:rPr>
      </w:pPr>
      <w:r w:rsidRPr="00FF0559">
        <w:rPr>
          <w:rFonts w:cstheme="minorHAnsi"/>
        </w:rPr>
        <w:t>- Bezpieczeństwo pożarowe</w:t>
      </w:r>
      <w:r w:rsidR="000174D2">
        <w:rPr>
          <w:rFonts w:cstheme="minorHAnsi"/>
        </w:rPr>
        <w:t xml:space="preserve"> </w:t>
      </w:r>
      <w:r w:rsidR="00992CC9">
        <w:rPr>
          <w:rFonts w:cstheme="minorHAnsi"/>
        </w:rPr>
        <w:t>–</w:t>
      </w:r>
      <w:r w:rsidRPr="00FF0559">
        <w:rPr>
          <w:rFonts w:cstheme="minorHAnsi"/>
        </w:rPr>
        <w:t xml:space="preserve"> dla budynku ustanawia się kat. Zagrożenia ludzi ZL </w:t>
      </w:r>
      <w:r w:rsidR="008F1BB9">
        <w:rPr>
          <w:rFonts w:cstheme="minorHAnsi"/>
        </w:rPr>
        <w:t>I</w:t>
      </w:r>
      <w:r w:rsidRPr="00FF0559">
        <w:rPr>
          <w:rFonts w:cstheme="minorHAnsi"/>
        </w:rPr>
        <w:t xml:space="preserve"> a klasę odporności pożarowej </w:t>
      </w:r>
      <w:r w:rsidR="0047443A">
        <w:rPr>
          <w:rFonts w:cstheme="minorHAnsi"/>
        </w:rPr>
        <w:t>C</w:t>
      </w:r>
    </w:p>
    <w:p w:rsidR="0047443A" w:rsidRPr="0047443A" w:rsidRDefault="0047443A" w:rsidP="0047443A">
      <w:pPr>
        <w:pStyle w:val="Akapitzlist"/>
        <w:rPr>
          <w:rFonts w:cstheme="minorHAnsi"/>
        </w:rPr>
      </w:pPr>
      <w:r>
        <w:rPr>
          <w:rFonts w:cstheme="minorHAnsi"/>
        </w:rPr>
        <w:t>- Plan ewakuacji pozostaje bez zmian</w:t>
      </w:r>
    </w:p>
    <w:p w:rsidR="00653D76" w:rsidRPr="00FF0559" w:rsidRDefault="00653D76" w:rsidP="00653D76">
      <w:pPr>
        <w:pStyle w:val="Akapitzlist"/>
        <w:rPr>
          <w:rFonts w:cstheme="minorHAnsi"/>
        </w:rPr>
      </w:pPr>
      <w:r w:rsidRPr="00FF0559">
        <w:rPr>
          <w:rFonts w:cstheme="minorHAnsi"/>
        </w:rPr>
        <w:t>- Bezpieczeństwo użytkowania – obiekt zaprojektowano z godnie z warunkami technicznymi</w:t>
      </w:r>
    </w:p>
    <w:p w:rsidR="00673FDC" w:rsidRDefault="00653D76" w:rsidP="0077449E">
      <w:pPr>
        <w:pStyle w:val="Akapitzlist"/>
        <w:rPr>
          <w:rFonts w:cstheme="minorHAnsi"/>
        </w:rPr>
      </w:pPr>
      <w:r w:rsidRPr="00FF0559">
        <w:rPr>
          <w:rFonts w:cstheme="minorHAnsi"/>
        </w:rPr>
        <w:t>- Ochrona przed hałasem i drganiami – hałas i drgania nie występują</w:t>
      </w:r>
    </w:p>
    <w:p w:rsidR="0077449E" w:rsidRPr="006F01BB" w:rsidRDefault="0077449E" w:rsidP="006F01BB">
      <w:pPr>
        <w:rPr>
          <w:rFonts w:cstheme="minorHAnsi"/>
        </w:rPr>
      </w:pPr>
    </w:p>
    <w:p w:rsidR="00C60AB5" w:rsidRDefault="00C60AB5" w:rsidP="00E3799A">
      <w:pPr>
        <w:pStyle w:val="Akapitzlist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>Dane konstrukcyjne materiałowe</w:t>
      </w:r>
    </w:p>
    <w:p w:rsidR="00AC1860" w:rsidRPr="006A36BC" w:rsidRDefault="00AC1860" w:rsidP="006A36BC">
      <w:pPr>
        <w:rPr>
          <w:rFonts w:cstheme="minorHAnsi"/>
        </w:rPr>
      </w:pPr>
    </w:p>
    <w:p w:rsidR="006F01BB" w:rsidRDefault="00AC1860" w:rsidP="007F4503">
      <w:pPr>
        <w:pStyle w:val="Akapitzlis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Podest drewniany widowni: konstrukcji drewnianej z drewna kl. C24. Całość belki jak i słupki wykonano z elementów drewnianych o przekroju  80x80mm. Konstrukcja ramowa ułożona na istniejącej posadzce za pośrednictwem deski 100x19mm. </w:t>
      </w:r>
      <w:r w:rsidR="008F1BB9">
        <w:rPr>
          <w:rFonts w:cstheme="minorHAnsi"/>
        </w:rPr>
        <w:t xml:space="preserve">Rozstaw elementów </w:t>
      </w:r>
      <w:r>
        <w:rPr>
          <w:rFonts w:cstheme="minorHAnsi"/>
        </w:rPr>
        <w:t>co 0.9m. Wykończenie stanowią dwie warstwy płyty OSB gr.2.5cm oraz wykładzina dywanowa</w:t>
      </w:r>
      <w:r w:rsidR="006A36BC">
        <w:rPr>
          <w:rFonts w:cstheme="minorHAnsi"/>
        </w:rPr>
        <w:t>, projektuje się skok stopnia co 25cm, tak że podest w najwyższym punkcie ma wysokość +0.98m</w:t>
      </w:r>
    </w:p>
    <w:p w:rsidR="006A36BC" w:rsidRPr="006A36BC" w:rsidRDefault="006A36BC" w:rsidP="006A36BC">
      <w:pPr>
        <w:pStyle w:val="Akapitzlist"/>
        <w:ind w:left="1440"/>
        <w:rPr>
          <w:rFonts w:cstheme="minorHAnsi"/>
        </w:rPr>
      </w:pPr>
    </w:p>
    <w:p w:rsidR="000A200F" w:rsidRDefault="006F01BB" w:rsidP="000A200F">
      <w:pPr>
        <w:pStyle w:val="Akapitzlist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>Ochrona przeciwpożarowa</w:t>
      </w:r>
      <w:r w:rsidR="006A36BC">
        <w:rPr>
          <w:rFonts w:cstheme="minorHAnsi"/>
          <w:b/>
        </w:rPr>
        <w:t xml:space="preserve"> – bez zmian</w:t>
      </w:r>
    </w:p>
    <w:p w:rsidR="000A200F" w:rsidRDefault="000A200F" w:rsidP="000A200F">
      <w:pPr>
        <w:pStyle w:val="Akapitzlist"/>
        <w:rPr>
          <w:rFonts w:cstheme="minorHAnsi"/>
          <w:b/>
        </w:rPr>
      </w:pPr>
    </w:p>
    <w:p w:rsidR="00E60FA6" w:rsidRDefault="00E60FA6" w:rsidP="00E60FA6">
      <w:pPr>
        <w:spacing w:after="0"/>
        <w:rPr>
          <w:rFonts w:cstheme="minorHAnsi"/>
        </w:rPr>
      </w:pPr>
    </w:p>
    <w:p w:rsidR="00E60FA6" w:rsidRPr="00E60FA6" w:rsidRDefault="00E60FA6" w:rsidP="00E60FA6">
      <w:pPr>
        <w:spacing w:after="0"/>
        <w:rPr>
          <w:rFonts w:cstheme="minorHAnsi"/>
        </w:rPr>
      </w:pPr>
    </w:p>
    <w:p w:rsidR="00824BC7" w:rsidRDefault="00824BC7" w:rsidP="00E3799A">
      <w:pPr>
        <w:rPr>
          <w:rFonts w:cstheme="minorHAnsi"/>
          <w:b/>
        </w:rPr>
      </w:pPr>
    </w:p>
    <w:p w:rsidR="007F4503" w:rsidRDefault="007F4503" w:rsidP="000A200F"/>
    <w:p w:rsidR="006A36BC" w:rsidRDefault="006A36BC" w:rsidP="000A200F"/>
    <w:p w:rsidR="006A36BC" w:rsidRDefault="006A36BC" w:rsidP="000A200F"/>
    <w:p w:rsidR="006A36BC" w:rsidRDefault="006A36BC" w:rsidP="000A200F"/>
    <w:p w:rsidR="006A36BC" w:rsidRDefault="006A36BC" w:rsidP="000A200F"/>
    <w:p w:rsidR="006A36BC" w:rsidRDefault="006A36BC" w:rsidP="000A200F"/>
    <w:p w:rsidR="006A36BC" w:rsidRDefault="006A36BC" w:rsidP="000A200F"/>
    <w:p w:rsidR="006A36BC" w:rsidRDefault="006A36BC" w:rsidP="000A200F"/>
    <w:p w:rsidR="006A36BC" w:rsidRDefault="006A36BC" w:rsidP="000A200F"/>
    <w:p w:rsidR="006A36BC" w:rsidRDefault="006A36BC" w:rsidP="000A200F"/>
    <w:p w:rsidR="006A36BC" w:rsidRDefault="006A36BC" w:rsidP="000A200F"/>
    <w:p w:rsidR="008D03C2" w:rsidRPr="007D224A" w:rsidRDefault="00E421DF" w:rsidP="007D224A">
      <w:pPr>
        <w:pStyle w:val="Akapitzlist"/>
        <w:ind w:left="1080"/>
        <w:jc w:val="center"/>
        <w:rPr>
          <w:b/>
        </w:rPr>
      </w:pPr>
      <w:r>
        <w:rPr>
          <w:b/>
        </w:rPr>
        <w:lastRenderedPageBreak/>
        <w:t>Zespół projektowy: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4135"/>
        <w:gridCol w:w="4073"/>
      </w:tblGrid>
      <w:tr w:rsidR="007D224A" w:rsidTr="007D224A">
        <w:tc>
          <w:tcPr>
            <w:tcW w:w="4135" w:type="dxa"/>
          </w:tcPr>
          <w:p w:rsidR="007D224A" w:rsidRPr="007D224A" w:rsidRDefault="007D224A" w:rsidP="007D224A">
            <w:pPr>
              <w:pStyle w:val="Akapitzlist"/>
              <w:ind w:left="0"/>
              <w:jc w:val="center"/>
              <w:rPr>
                <w:i/>
              </w:rPr>
            </w:pPr>
            <w:r w:rsidRPr="007D224A">
              <w:rPr>
                <w:i/>
              </w:rPr>
              <w:t>Imię i Nazwisko Projektanta</w:t>
            </w:r>
          </w:p>
        </w:tc>
        <w:tc>
          <w:tcPr>
            <w:tcW w:w="4073" w:type="dxa"/>
          </w:tcPr>
          <w:p w:rsidR="007D224A" w:rsidRPr="007D224A" w:rsidRDefault="007D224A" w:rsidP="007D224A">
            <w:pPr>
              <w:pStyle w:val="Akapitzlist"/>
              <w:ind w:left="0"/>
              <w:jc w:val="center"/>
              <w:rPr>
                <w:i/>
              </w:rPr>
            </w:pPr>
            <w:r w:rsidRPr="007D224A">
              <w:rPr>
                <w:i/>
              </w:rPr>
              <w:t>Podpis</w:t>
            </w:r>
          </w:p>
        </w:tc>
      </w:tr>
      <w:tr w:rsidR="007D224A" w:rsidTr="007D224A">
        <w:tc>
          <w:tcPr>
            <w:tcW w:w="4135" w:type="dxa"/>
          </w:tcPr>
          <w:p w:rsidR="007D224A" w:rsidRDefault="007D224A" w:rsidP="007D224A">
            <w:pPr>
              <w:pStyle w:val="Akapitzlist"/>
              <w:ind w:left="0"/>
              <w:jc w:val="center"/>
            </w:pPr>
            <w:r>
              <w:t>mgr inż. arch. Tadeusz Tylka</w:t>
            </w:r>
          </w:p>
          <w:p w:rsidR="007D224A" w:rsidRPr="007D224A" w:rsidRDefault="007D224A" w:rsidP="007D224A">
            <w:pPr>
              <w:pStyle w:val="Akapitzlist"/>
              <w:ind w:left="0"/>
              <w:jc w:val="center"/>
              <w:rPr>
                <w:i/>
                <w:sz w:val="18"/>
                <w:szCs w:val="18"/>
              </w:rPr>
            </w:pPr>
            <w:r w:rsidRPr="007D224A">
              <w:rPr>
                <w:i/>
                <w:sz w:val="18"/>
                <w:szCs w:val="18"/>
              </w:rPr>
              <w:t xml:space="preserve">uprawnienia </w:t>
            </w:r>
            <w:r w:rsidR="00611449">
              <w:rPr>
                <w:i/>
                <w:sz w:val="18"/>
                <w:szCs w:val="18"/>
              </w:rPr>
              <w:t>w spec. architektonicznej</w:t>
            </w:r>
          </w:p>
          <w:p w:rsidR="007D224A" w:rsidRDefault="007D224A" w:rsidP="007D224A">
            <w:pPr>
              <w:pStyle w:val="Akapitzlist"/>
              <w:ind w:left="0"/>
              <w:jc w:val="center"/>
            </w:pPr>
            <w:r w:rsidRPr="007D224A">
              <w:rPr>
                <w:i/>
                <w:sz w:val="18"/>
                <w:szCs w:val="18"/>
              </w:rPr>
              <w:t>nr ewid. NN-8345/474/81</w:t>
            </w:r>
          </w:p>
        </w:tc>
        <w:tc>
          <w:tcPr>
            <w:tcW w:w="4073" w:type="dxa"/>
          </w:tcPr>
          <w:p w:rsidR="007D224A" w:rsidRDefault="007D224A" w:rsidP="008D03C2">
            <w:pPr>
              <w:pStyle w:val="Akapitzlist"/>
              <w:ind w:left="0"/>
            </w:pPr>
          </w:p>
        </w:tc>
      </w:tr>
      <w:tr w:rsidR="007D224A" w:rsidTr="007D224A">
        <w:tc>
          <w:tcPr>
            <w:tcW w:w="4135" w:type="dxa"/>
          </w:tcPr>
          <w:p w:rsidR="007D224A" w:rsidRDefault="007D224A" w:rsidP="007D224A">
            <w:pPr>
              <w:pStyle w:val="Akapitzlist"/>
              <w:ind w:left="0"/>
              <w:jc w:val="center"/>
            </w:pPr>
            <w:r>
              <w:t xml:space="preserve">inż. </w:t>
            </w:r>
            <w:r w:rsidR="007F4503">
              <w:t>Irena Kirkiłło Stacewicz</w:t>
            </w:r>
          </w:p>
          <w:p w:rsidR="007D224A" w:rsidRPr="007D224A" w:rsidRDefault="007D224A" w:rsidP="007D224A">
            <w:pPr>
              <w:pStyle w:val="Akapitzlist"/>
              <w:ind w:left="0"/>
              <w:jc w:val="center"/>
              <w:rPr>
                <w:i/>
                <w:sz w:val="18"/>
                <w:szCs w:val="18"/>
              </w:rPr>
            </w:pPr>
            <w:r w:rsidRPr="007D224A">
              <w:rPr>
                <w:i/>
                <w:sz w:val="18"/>
                <w:szCs w:val="18"/>
              </w:rPr>
              <w:t xml:space="preserve">uprawnienia </w:t>
            </w:r>
            <w:r w:rsidR="00611449">
              <w:rPr>
                <w:i/>
                <w:sz w:val="18"/>
                <w:szCs w:val="18"/>
              </w:rPr>
              <w:t>w spec. konstrukcyjnej</w:t>
            </w:r>
          </w:p>
          <w:p w:rsidR="007D224A" w:rsidRDefault="007D224A" w:rsidP="007F4503">
            <w:pPr>
              <w:pStyle w:val="Akapitzlist"/>
              <w:ind w:left="0"/>
              <w:jc w:val="center"/>
            </w:pPr>
            <w:r w:rsidRPr="007D224A">
              <w:rPr>
                <w:i/>
                <w:sz w:val="18"/>
                <w:szCs w:val="18"/>
              </w:rPr>
              <w:t xml:space="preserve">nr ewid. </w:t>
            </w:r>
            <w:r>
              <w:rPr>
                <w:i/>
                <w:sz w:val="18"/>
                <w:szCs w:val="18"/>
              </w:rPr>
              <w:t>UAN-</w:t>
            </w:r>
            <w:r w:rsidR="00887E37">
              <w:rPr>
                <w:i/>
                <w:sz w:val="18"/>
                <w:szCs w:val="18"/>
              </w:rPr>
              <w:t>8345/926/85</w:t>
            </w:r>
          </w:p>
        </w:tc>
        <w:tc>
          <w:tcPr>
            <w:tcW w:w="4073" w:type="dxa"/>
          </w:tcPr>
          <w:p w:rsidR="007D224A" w:rsidRDefault="007D224A" w:rsidP="008D03C2">
            <w:pPr>
              <w:pStyle w:val="Akapitzlist"/>
              <w:ind w:left="0"/>
            </w:pPr>
          </w:p>
        </w:tc>
      </w:tr>
    </w:tbl>
    <w:p w:rsidR="00611449" w:rsidRPr="008D03C2" w:rsidRDefault="00611449" w:rsidP="00504BDE"/>
    <w:sectPr w:rsidR="00611449" w:rsidRPr="008D03C2" w:rsidSect="000D26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68" w:rsidRDefault="00A81B68" w:rsidP="00D6258C">
      <w:pPr>
        <w:spacing w:after="0" w:line="240" w:lineRule="auto"/>
      </w:pPr>
      <w:r>
        <w:separator/>
      </w:r>
    </w:p>
  </w:endnote>
  <w:endnote w:type="continuationSeparator" w:id="1">
    <w:p w:rsidR="00A81B68" w:rsidRDefault="00A81B68" w:rsidP="00D6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8C" w:rsidRDefault="00D62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68" w:rsidRDefault="00A81B68" w:rsidP="00D6258C">
      <w:pPr>
        <w:spacing w:after="0" w:line="240" w:lineRule="auto"/>
      </w:pPr>
      <w:r>
        <w:separator/>
      </w:r>
    </w:p>
  </w:footnote>
  <w:footnote w:type="continuationSeparator" w:id="1">
    <w:p w:rsidR="00A81B68" w:rsidRDefault="00A81B68" w:rsidP="00D6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3891098"/>
    <w:multiLevelType w:val="multilevel"/>
    <w:tmpl w:val="F842C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71090C"/>
    <w:multiLevelType w:val="hybridMultilevel"/>
    <w:tmpl w:val="5756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78F3"/>
    <w:multiLevelType w:val="hybridMultilevel"/>
    <w:tmpl w:val="CB46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1D61"/>
    <w:multiLevelType w:val="hybridMultilevel"/>
    <w:tmpl w:val="AE8EF76E"/>
    <w:lvl w:ilvl="0" w:tplc="016A7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179D"/>
    <w:multiLevelType w:val="hybridMultilevel"/>
    <w:tmpl w:val="B43AABDC"/>
    <w:lvl w:ilvl="0" w:tplc="A5C29F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5E5A"/>
    <w:multiLevelType w:val="hybridMultilevel"/>
    <w:tmpl w:val="198C5DAC"/>
    <w:lvl w:ilvl="0" w:tplc="47A85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9124EB"/>
    <w:multiLevelType w:val="hybridMultilevel"/>
    <w:tmpl w:val="76EA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3C2"/>
    <w:rsid w:val="000174D2"/>
    <w:rsid w:val="00021F4C"/>
    <w:rsid w:val="000A200F"/>
    <w:rsid w:val="000B1E40"/>
    <w:rsid w:val="000D26CB"/>
    <w:rsid w:val="0016113B"/>
    <w:rsid w:val="00192DF4"/>
    <w:rsid w:val="001B274B"/>
    <w:rsid w:val="001B6298"/>
    <w:rsid w:val="001F5019"/>
    <w:rsid w:val="00220B05"/>
    <w:rsid w:val="00223180"/>
    <w:rsid w:val="00236BBF"/>
    <w:rsid w:val="00283259"/>
    <w:rsid w:val="002C2FA7"/>
    <w:rsid w:val="002D2159"/>
    <w:rsid w:val="002E30AE"/>
    <w:rsid w:val="00300966"/>
    <w:rsid w:val="00316933"/>
    <w:rsid w:val="00325412"/>
    <w:rsid w:val="0036451E"/>
    <w:rsid w:val="003C0916"/>
    <w:rsid w:val="003D192D"/>
    <w:rsid w:val="004113CB"/>
    <w:rsid w:val="00430D88"/>
    <w:rsid w:val="00436CD6"/>
    <w:rsid w:val="0046524E"/>
    <w:rsid w:val="00470346"/>
    <w:rsid w:val="004743B9"/>
    <w:rsid w:val="0047443A"/>
    <w:rsid w:val="004762B5"/>
    <w:rsid w:val="004B7F6C"/>
    <w:rsid w:val="004C70CE"/>
    <w:rsid w:val="004E3291"/>
    <w:rsid w:val="00502A39"/>
    <w:rsid w:val="00504BDE"/>
    <w:rsid w:val="00516BEA"/>
    <w:rsid w:val="0058629D"/>
    <w:rsid w:val="005A15FE"/>
    <w:rsid w:val="005E3BF3"/>
    <w:rsid w:val="005E5B2C"/>
    <w:rsid w:val="00611449"/>
    <w:rsid w:val="006334A3"/>
    <w:rsid w:val="006358C3"/>
    <w:rsid w:val="00641137"/>
    <w:rsid w:val="00653D76"/>
    <w:rsid w:val="00673FDC"/>
    <w:rsid w:val="00695A12"/>
    <w:rsid w:val="006A36BC"/>
    <w:rsid w:val="006E22CA"/>
    <w:rsid w:val="006F01BB"/>
    <w:rsid w:val="006F6AA2"/>
    <w:rsid w:val="0070563B"/>
    <w:rsid w:val="007474E8"/>
    <w:rsid w:val="00766A40"/>
    <w:rsid w:val="0077449E"/>
    <w:rsid w:val="00784CD0"/>
    <w:rsid w:val="007B3980"/>
    <w:rsid w:val="007C58D9"/>
    <w:rsid w:val="007D08FD"/>
    <w:rsid w:val="007D224A"/>
    <w:rsid w:val="007F4503"/>
    <w:rsid w:val="007F630E"/>
    <w:rsid w:val="00824BC7"/>
    <w:rsid w:val="00841118"/>
    <w:rsid w:val="008610F5"/>
    <w:rsid w:val="00887E37"/>
    <w:rsid w:val="008925CF"/>
    <w:rsid w:val="008A6D0E"/>
    <w:rsid w:val="008B08E8"/>
    <w:rsid w:val="008D03C2"/>
    <w:rsid w:val="008D084F"/>
    <w:rsid w:val="008F1BB9"/>
    <w:rsid w:val="00900657"/>
    <w:rsid w:val="00917BAC"/>
    <w:rsid w:val="00951968"/>
    <w:rsid w:val="00992CC9"/>
    <w:rsid w:val="0099327A"/>
    <w:rsid w:val="009A3EB5"/>
    <w:rsid w:val="00A173C3"/>
    <w:rsid w:val="00A70CB0"/>
    <w:rsid w:val="00A81B68"/>
    <w:rsid w:val="00A85D0D"/>
    <w:rsid w:val="00AA4869"/>
    <w:rsid w:val="00AC1860"/>
    <w:rsid w:val="00AC3E89"/>
    <w:rsid w:val="00B36E04"/>
    <w:rsid w:val="00B43C50"/>
    <w:rsid w:val="00B90264"/>
    <w:rsid w:val="00BA36F2"/>
    <w:rsid w:val="00BB798E"/>
    <w:rsid w:val="00BF7280"/>
    <w:rsid w:val="00C046DF"/>
    <w:rsid w:val="00C06BC0"/>
    <w:rsid w:val="00C60AB5"/>
    <w:rsid w:val="00C91450"/>
    <w:rsid w:val="00C96F4B"/>
    <w:rsid w:val="00CA37A7"/>
    <w:rsid w:val="00CB2C25"/>
    <w:rsid w:val="00CB33EB"/>
    <w:rsid w:val="00CD1F36"/>
    <w:rsid w:val="00CD2A21"/>
    <w:rsid w:val="00D1648C"/>
    <w:rsid w:val="00D20BAC"/>
    <w:rsid w:val="00D2371D"/>
    <w:rsid w:val="00D6258C"/>
    <w:rsid w:val="00DA6E20"/>
    <w:rsid w:val="00DE21C3"/>
    <w:rsid w:val="00DE6C43"/>
    <w:rsid w:val="00E364E6"/>
    <w:rsid w:val="00E3799A"/>
    <w:rsid w:val="00E421DF"/>
    <w:rsid w:val="00E527A5"/>
    <w:rsid w:val="00E60FA6"/>
    <w:rsid w:val="00ED27CD"/>
    <w:rsid w:val="00EE4A21"/>
    <w:rsid w:val="00EE5681"/>
    <w:rsid w:val="00F21A9C"/>
    <w:rsid w:val="00F313C9"/>
    <w:rsid w:val="00F44CAB"/>
    <w:rsid w:val="00F95C46"/>
    <w:rsid w:val="00FA7888"/>
    <w:rsid w:val="00FB5F8C"/>
    <w:rsid w:val="00FC5A94"/>
    <w:rsid w:val="00FD0F2D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8C"/>
  </w:style>
  <w:style w:type="paragraph" w:styleId="Stopka">
    <w:name w:val="footer"/>
    <w:basedOn w:val="Normalny"/>
    <w:link w:val="StopkaZnak"/>
    <w:uiPriority w:val="99"/>
    <w:unhideWhenUsed/>
    <w:rsid w:val="00D6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8C"/>
  </w:style>
  <w:style w:type="paragraph" w:styleId="Tekstdymka">
    <w:name w:val="Balloon Text"/>
    <w:basedOn w:val="Normalny"/>
    <w:link w:val="TekstdymkaZnak"/>
    <w:uiPriority w:val="99"/>
    <w:semiHidden/>
    <w:unhideWhenUsed/>
    <w:rsid w:val="00D6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CD1F3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3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user</cp:lastModifiedBy>
  <cp:revision>24</cp:revision>
  <cp:lastPrinted>2016-07-05T12:05:00Z</cp:lastPrinted>
  <dcterms:created xsi:type="dcterms:W3CDTF">2016-01-03T13:43:00Z</dcterms:created>
  <dcterms:modified xsi:type="dcterms:W3CDTF">2017-07-24T09:50:00Z</dcterms:modified>
</cp:coreProperties>
</file>