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0" w:rsidRPr="00F64BE0" w:rsidRDefault="002C6609" w:rsidP="00F64BE0">
      <w:pPr>
        <w:jc w:val="right"/>
        <w:rPr>
          <w:rFonts w:asciiTheme="majorHAnsi" w:hAnsiTheme="majorHAnsi" w:cs="Tunga"/>
          <w:b/>
          <w:sz w:val="22"/>
          <w:szCs w:val="22"/>
        </w:rPr>
      </w:pPr>
      <w:r>
        <w:rPr>
          <w:rFonts w:asciiTheme="majorHAnsi" w:hAnsiTheme="majorHAnsi" w:cs="Tunga"/>
          <w:b/>
          <w:sz w:val="22"/>
          <w:szCs w:val="22"/>
        </w:rPr>
        <w:t>Załącznik Nr 2</w:t>
      </w:r>
      <w:r w:rsidR="00F64BE0" w:rsidRPr="00F64BE0">
        <w:rPr>
          <w:rFonts w:asciiTheme="majorHAnsi" w:hAnsiTheme="majorHAnsi" w:cs="Tunga"/>
          <w:b/>
          <w:sz w:val="22"/>
          <w:szCs w:val="22"/>
        </w:rPr>
        <w:t xml:space="preserve"> do SIWZ</w:t>
      </w:r>
    </w:p>
    <w:p w:rsidR="00F64BE0" w:rsidRPr="00F64BE0" w:rsidRDefault="00F64BE0" w:rsidP="00F64BE0">
      <w:pPr>
        <w:jc w:val="right"/>
        <w:rPr>
          <w:rFonts w:asciiTheme="majorHAnsi" w:hAnsiTheme="majorHAnsi" w:cs="Tunga"/>
          <w:b/>
          <w:sz w:val="22"/>
          <w:szCs w:val="22"/>
        </w:rPr>
      </w:pPr>
    </w:p>
    <w:p w:rsidR="00F64BE0" w:rsidRPr="00F64BE0" w:rsidRDefault="00F64BE0" w:rsidP="00F64BE0">
      <w:pPr>
        <w:jc w:val="center"/>
        <w:rPr>
          <w:rFonts w:asciiTheme="majorHAnsi" w:hAnsiTheme="majorHAnsi" w:cs="Tunga"/>
          <w:b/>
          <w:sz w:val="22"/>
          <w:szCs w:val="22"/>
        </w:rPr>
      </w:pPr>
      <w:r>
        <w:rPr>
          <w:rFonts w:asciiTheme="majorHAnsi" w:hAnsiTheme="majorHAnsi" w:cs="Tunga"/>
          <w:b/>
          <w:sz w:val="22"/>
          <w:szCs w:val="22"/>
        </w:rPr>
        <w:t xml:space="preserve">OPIS PARAMTRÓW TECHNICZNYCH/SZCZEGÓLOWY </w:t>
      </w:r>
      <w:r w:rsidRPr="00F64BE0">
        <w:rPr>
          <w:rFonts w:asciiTheme="majorHAnsi" w:hAnsiTheme="majorHAnsi" w:cs="Tunga"/>
          <w:b/>
          <w:sz w:val="22"/>
          <w:szCs w:val="22"/>
        </w:rPr>
        <w:t>OPIS PRZEDMIOTU ZAMÓWIENIA</w:t>
      </w:r>
    </w:p>
    <w:p w:rsidR="00F64BE0" w:rsidRPr="00F64BE0" w:rsidRDefault="00F64BE0" w:rsidP="00F64BE0">
      <w:pPr>
        <w:jc w:val="center"/>
        <w:rPr>
          <w:rFonts w:asciiTheme="majorHAnsi" w:hAnsiTheme="majorHAnsi" w:cs="Tunga"/>
          <w:b/>
          <w:bCs/>
          <w:sz w:val="22"/>
          <w:szCs w:val="22"/>
        </w:rPr>
      </w:pPr>
      <w:r>
        <w:rPr>
          <w:rFonts w:asciiTheme="majorHAnsi" w:hAnsiTheme="majorHAnsi" w:cs="Tunga"/>
          <w:b/>
          <w:bCs/>
          <w:sz w:val="22"/>
          <w:szCs w:val="22"/>
        </w:rPr>
        <w:t xml:space="preserve">Dzierżawa 2 szt. Separatorów komórkowych </w:t>
      </w:r>
    </w:p>
    <w:p w:rsidR="00F64BE0" w:rsidRPr="00F64BE0" w:rsidRDefault="00F64BE0" w:rsidP="00F64BE0">
      <w:pPr>
        <w:jc w:val="center"/>
        <w:rPr>
          <w:rFonts w:asciiTheme="majorHAnsi" w:hAnsiTheme="majorHAnsi" w:cs="Tunga"/>
          <w:b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7088"/>
        <w:gridCol w:w="1842"/>
        <w:gridCol w:w="2268"/>
        <w:gridCol w:w="2167"/>
      </w:tblGrid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4BE0" w:rsidRPr="00F64BE0" w:rsidRDefault="00F64BE0" w:rsidP="00F64BE0">
            <w:pPr>
              <w:rPr>
                <w:rFonts w:asciiTheme="majorHAnsi" w:hAnsiTheme="majorHAnsi" w:cs="Tunga"/>
                <w:b/>
              </w:rPr>
            </w:pPr>
            <w:r w:rsidRPr="00F64BE0">
              <w:rPr>
                <w:rFonts w:asciiTheme="majorHAnsi" w:hAnsiTheme="majorHAnsi" w:cs="Tunga"/>
                <w:b/>
                <w:sz w:val="22"/>
                <w:szCs w:val="22"/>
              </w:rPr>
              <w:t xml:space="preserve">     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4BE0" w:rsidRPr="00F64BE0" w:rsidRDefault="00F64BE0">
            <w:pPr>
              <w:jc w:val="center"/>
              <w:rPr>
                <w:rFonts w:asciiTheme="majorHAnsi" w:hAnsiTheme="majorHAnsi" w:cs="Tunga"/>
                <w:b/>
              </w:rPr>
            </w:pPr>
            <w:r w:rsidRPr="00F64BE0">
              <w:rPr>
                <w:rFonts w:asciiTheme="majorHAnsi" w:hAnsiTheme="majorHAnsi" w:cs="Tunga"/>
                <w:b/>
                <w:sz w:val="22"/>
                <w:szCs w:val="22"/>
              </w:rPr>
              <w:t>Parametry wymagane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hAnsiTheme="majorHAnsi" w:cs="Tunga"/>
                <w:b/>
              </w:rPr>
            </w:pPr>
            <w:r w:rsidRPr="00F64BE0">
              <w:rPr>
                <w:rFonts w:asciiTheme="majorHAnsi" w:hAnsiTheme="majorHAnsi" w:cs="Tunga"/>
                <w:b/>
                <w:sz w:val="22"/>
                <w:szCs w:val="22"/>
              </w:rPr>
              <w:t>Potwierdzenie spełniania wymogu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4BE0" w:rsidRPr="00F64BE0" w:rsidRDefault="00F64BE0" w:rsidP="00F64BE0">
            <w:pPr>
              <w:jc w:val="center"/>
              <w:rPr>
                <w:rFonts w:asciiTheme="majorHAnsi" w:hAnsiTheme="majorHAnsi" w:cs="Tunga"/>
                <w:b/>
              </w:rPr>
            </w:pPr>
            <w:r w:rsidRPr="00F64BE0">
              <w:rPr>
                <w:rFonts w:asciiTheme="majorHAnsi" w:hAnsiTheme="majorHAnsi" w:cs="Tunga"/>
                <w:b/>
                <w:sz w:val="22"/>
                <w:szCs w:val="22"/>
              </w:rPr>
              <w:t>Ocena punktowa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64BE0" w:rsidRPr="00F64BE0" w:rsidRDefault="00F64BE0" w:rsidP="00F64BE0">
            <w:pPr>
              <w:jc w:val="center"/>
              <w:rPr>
                <w:rFonts w:asciiTheme="majorHAnsi" w:hAnsiTheme="majorHAnsi" w:cs="Tunga"/>
                <w:b/>
              </w:rPr>
            </w:pPr>
            <w:r w:rsidRPr="00F64BE0">
              <w:rPr>
                <w:rFonts w:asciiTheme="majorHAnsi" w:hAnsiTheme="majorHAnsi" w:cs="Tunga"/>
                <w:b/>
                <w:sz w:val="22"/>
                <w:szCs w:val="22"/>
              </w:rPr>
              <w:t>Oferowane parametry i właściwości separatora</w:t>
            </w:r>
          </w:p>
          <w:p w:rsidR="00F64BE0" w:rsidRPr="00F64BE0" w:rsidRDefault="00F64BE0" w:rsidP="00F64BE0">
            <w:pPr>
              <w:jc w:val="center"/>
              <w:rPr>
                <w:rFonts w:asciiTheme="majorHAnsi" w:hAnsiTheme="majorHAnsi" w:cs="Tunga"/>
                <w:b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jc w:val="center"/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Aparat jezdny, łatwy do transportu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  <w:r w:rsidR="00F01F83">
              <w:rPr>
                <w:rFonts w:asciiTheme="majorHAnsi" w:eastAsiaTheme="minorEastAsia" w:hAnsiTheme="majorHAnsi" w:cstheme="minorBidi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64BE0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Automatyczny dobór wszystkich parametrów, w tym prędkości przepływu i obojętności preparatów, w zależności od parametrów 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 w:rsidRPr="00F64BE0">
              <w:rPr>
                <w:rFonts w:asciiTheme="majorHAnsi" w:hAnsiTheme="majorHAnsi" w:cs="Tunga"/>
                <w:sz w:val="22"/>
                <w:szCs w:val="22"/>
              </w:rPr>
              <w:t>Aparat zasilany: 220-240 [V], 50 [Hz]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unga"/>
                <w:sz w:val="22"/>
                <w:szCs w:val="22"/>
                <w:lang w:eastAsia="en-US"/>
              </w:rPr>
              <w:t xml:space="preserve">Wydruk procedury dokumentujący wprowadzane zmiany oraz  stany alarmowe dokonywany na bieżąco w czasie separacji.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 w:rsidRPr="00F64BE0">
              <w:rPr>
                <w:rFonts w:asciiTheme="majorHAnsi" w:hAnsiTheme="majorHAnsi" w:cs="Tunga"/>
                <w:sz w:val="22"/>
                <w:szCs w:val="22"/>
              </w:rPr>
              <w:t xml:space="preserve">Poziom hałasu podczas użytkowania ≤ 70 </w:t>
            </w:r>
            <w:proofErr w:type="spellStart"/>
            <w:r w:rsidRPr="00F64BE0">
              <w:rPr>
                <w:rFonts w:asciiTheme="majorHAnsi" w:hAnsiTheme="majorHAnsi" w:cs="Tunga"/>
                <w:sz w:val="22"/>
                <w:szCs w:val="22"/>
              </w:rPr>
              <w:t>dBa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Restart urządzenie w trakcie procedury zakładania/wypełniania zestawu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ind w:right="213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Praca separatora w systemie zamkniętym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Komunikacja z użytkownikiem w języku polskim za pomocą wyświetlacza graficznego i przycisków funkcyjnych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 xml:space="preserve">Instrukcja instalacji zestawu wyświetlana w  języku polskim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Dodatkowy wyświetlacz dla pacjenta informujący o czasie pozostałym do końca separacji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01F83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 w:rsidRPr="00F64BE0">
              <w:rPr>
                <w:rFonts w:asciiTheme="majorHAnsi" w:hAnsiTheme="majorHAnsi" w:cs="Tunga"/>
                <w:sz w:val="22"/>
                <w:szCs w:val="22"/>
              </w:rPr>
              <w:t>Automatycznie sterowane dozowaniem antykoagulantu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Aparat realizuje procedury:</w:t>
            </w:r>
          </w:p>
          <w:p w:rsid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- plazmafereza wymienna (TPE),</w:t>
            </w:r>
          </w:p>
          <w:p w:rsid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- obniżanie poziomu płytek (</w:t>
            </w:r>
            <w:proofErr w:type="spellStart"/>
            <w:r>
              <w:rPr>
                <w:rFonts w:asciiTheme="majorHAnsi" w:hAnsiTheme="majorHAnsi" w:cs="Tunga"/>
                <w:sz w:val="22"/>
                <w:szCs w:val="22"/>
              </w:rPr>
              <w:t>tromboafereza</w:t>
            </w:r>
            <w:proofErr w:type="spellEnd"/>
            <w:r>
              <w:rPr>
                <w:rFonts w:asciiTheme="majorHAnsi" w:hAnsiTheme="majorHAnsi" w:cs="Tunga"/>
                <w:sz w:val="22"/>
                <w:szCs w:val="22"/>
              </w:rPr>
              <w:t>)</w:t>
            </w:r>
          </w:p>
          <w:p w:rsid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- obniżanie poziomu leukocytów 9leukaferaza</w:t>
            </w:r>
          </w:p>
          <w:p w:rsid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rFonts w:asciiTheme="majorHAnsi" w:hAnsiTheme="majorHAnsi" w:cs="Tunga"/>
                <w:sz w:val="22"/>
                <w:szCs w:val="22"/>
              </w:rPr>
              <w:t>erytraferaza</w:t>
            </w:r>
            <w:proofErr w:type="spellEnd"/>
            <w:r>
              <w:rPr>
                <w:rFonts w:asciiTheme="majorHAnsi" w:hAnsiTheme="majorHAnsi" w:cs="Tunga"/>
                <w:sz w:val="22"/>
                <w:szCs w:val="22"/>
              </w:rPr>
              <w:t xml:space="preserve"> (redukcja i wymiana)</w:t>
            </w:r>
          </w:p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- pobieranie komórek macierzystych szpiku (MNC) w trybie manualnym oraz automatycznym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lastRenderedPageBreak/>
              <w:t>Tak</w:t>
            </w:r>
            <w:r w:rsidR="00F01F83">
              <w:rPr>
                <w:rFonts w:asciiTheme="majorHAnsi" w:eastAsiaTheme="minorEastAsia" w:hAnsiTheme="majorHAnsi" w:cstheme="minorBidi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64BE0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 w:rsidP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 xml:space="preserve">Kalkulator wydajności procedury </w:t>
            </w:r>
            <w:proofErr w:type="spellStart"/>
            <w:r>
              <w:rPr>
                <w:rFonts w:asciiTheme="majorHAnsi" w:hAnsiTheme="majorHAnsi" w:cs="Tunga"/>
                <w:sz w:val="22"/>
                <w:szCs w:val="22"/>
              </w:rPr>
              <w:t>autoMNC</w:t>
            </w:r>
            <w:proofErr w:type="spellEnd"/>
            <w:r>
              <w:rPr>
                <w:rFonts w:asciiTheme="majorHAnsi" w:hAnsiTheme="majorHAnsi" w:cs="Tunga"/>
                <w:sz w:val="22"/>
                <w:szCs w:val="22"/>
              </w:rPr>
              <w:t xml:space="preserve"> oraz MNC obliczany na podstawie  liczby CD34</w:t>
            </w:r>
            <w:r>
              <w:rPr>
                <w:rFonts w:asciiTheme="majorHAnsi" w:hAnsiTheme="majorHAnsi" w:cs="Tunga"/>
                <w:sz w:val="22"/>
                <w:szCs w:val="22"/>
                <w:vertAlign w:val="superscript"/>
              </w:rPr>
              <w:t>+</w:t>
            </w:r>
            <w:r>
              <w:rPr>
                <w:rFonts w:asciiTheme="majorHAnsi" w:hAnsiTheme="majorHAnsi" w:cs="Tunga"/>
                <w:sz w:val="22"/>
                <w:szCs w:val="22"/>
              </w:rPr>
              <w:t xml:space="preserve"> w krwi pacjenta przed zabiegiem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 w:rsidP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Czujnik ciśnienia w linii pobierania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Czujnik ciśnienia w linii zwrotu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rPr>
                <w:rFonts w:asciiTheme="majorHAnsi" w:hAnsiTheme="majorHAnsi" w:cs="Tunga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Detektor hemolizy w linii zwrotu do pacjenta/dawcy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 xml:space="preserve">Czujnik przelania, wykrywający czerwone krwinki  i mierzący zakłócenia wywołane przez płytki w linii komórkowej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Czujnik braku roztworu zastępczego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Czujnik wykrywający pęcherzyki powietrza w linii zwrotu do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tabs>
                <w:tab w:val="left" w:pos="3402"/>
              </w:tabs>
              <w:rPr>
                <w:rFonts w:asciiTheme="majorHAnsi" w:hAnsiTheme="majorHAnsi" w:cs="Tunga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 w:rsidP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 w:rsidRPr="00F64BE0">
              <w:rPr>
                <w:rFonts w:asciiTheme="majorHAnsi" w:hAnsiTheme="majorHAnsi" w:cs="Tunga"/>
                <w:sz w:val="22"/>
                <w:szCs w:val="22"/>
              </w:rPr>
              <w:t xml:space="preserve">Czujnik </w:t>
            </w:r>
            <w:r>
              <w:rPr>
                <w:rFonts w:asciiTheme="majorHAnsi" w:hAnsiTheme="majorHAnsi" w:cs="Tunga"/>
                <w:sz w:val="22"/>
                <w:szCs w:val="22"/>
              </w:rPr>
              <w:t xml:space="preserve">braku roztworu </w:t>
            </w:r>
            <w:proofErr w:type="spellStart"/>
            <w:r>
              <w:rPr>
                <w:rFonts w:asciiTheme="majorHAnsi" w:hAnsiTheme="majorHAnsi" w:cs="Tunga"/>
                <w:sz w:val="22"/>
                <w:szCs w:val="22"/>
              </w:rPr>
              <w:t>antykoagulacyjnego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Czujnik informujący o nieszczelności zestawu w czasie separacji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Czujnik prawidłowego zainstalowania zestawu do realizacji określonej procedury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 w:rsidP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 w:rsidRPr="00F64BE0">
              <w:rPr>
                <w:rFonts w:asciiTheme="majorHAnsi" w:hAnsiTheme="majorHAnsi" w:cs="Tunga"/>
                <w:sz w:val="22"/>
                <w:szCs w:val="22"/>
              </w:rPr>
              <w:t xml:space="preserve">Możliwość </w:t>
            </w:r>
            <w:r>
              <w:rPr>
                <w:rFonts w:asciiTheme="majorHAnsi" w:hAnsiTheme="majorHAnsi" w:cs="Tunga"/>
                <w:sz w:val="22"/>
                <w:szCs w:val="22"/>
              </w:rPr>
              <w:t>wprowadzenia zmian parametrów procedury przez użytkowania na każdym etapie procedury (z wyjątkiem ostatniego cyklu procedury)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Pr="00F64BE0" w:rsidRDefault="00F01F83" w:rsidP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Wybór rodzaju płynu osocz0-zastepczego w procedurze plazmaferezy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10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 w:rsidP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Pojemnik odbiorczy na komórki macierzyste składający się z dwóch worków połączonych drenem, w celu ułatwienia późniejszej preparatyki preparatu oraz dodatkowy pojemnik do pobierania próbek.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BE0" w:rsidRPr="00F64BE0" w:rsidRDefault="00F64BE0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 xml:space="preserve">Przeciętna objętość pozaustrojowa </w:t>
            </w:r>
            <w:r w:rsidR="00F01F83">
              <w:rPr>
                <w:rFonts w:asciiTheme="majorHAnsi" w:hAnsiTheme="majorHAnsi" w:cs="Tunga"/>
                <w:sz w:val="22"/>
                <w:szCs w:val="22"/>
              </w:rPr>
              <w:t xml:space="preserve"> min.  </w:t>
            </w:r>
            <w:r>
              <w:rPr>
                <w:rFonts w:asciiTheme="majorHAnsi" w:hAnsiTheme="majorHAnsi" w:cs="Tunga"/>
                <w:sz w:val="22"/>
                <w:szCs w:val="22"/>
              </w:rPr>
              <w:t>195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Bez oceny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F64BE0" w:rsidRDefault="00F64BE0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01F83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64BE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F83" w:rsidRDefault="00F01F83">
            <w:pPr>
              <w:pStyle w:val="Bezodstpw"/>
              <w:spacing w:line="276" w:lineRule="auto"/>
              <w:rPr>
                <w:rFonts w:asciiTheme="majorHAnsi" w:hAnsiTheme="majorHAnsi" w:cs="Tunga"/>
                <w:sz w:val="22"/>
                <w:szCs w:val="22"/>
              </w:rPr>
            </w:pPr>
            <w:r>
              <w:rPr>
                <w:rFonts w:asciiTheme="majorHAnsi" w:hAnsiTheme="majorHAnsi" w:cs="Tunga"/>
                <w:sz w:val="22"/>
                <w:szCs w:val="22"/>
              </w:rPr>
              <w:t>Możliwość wyboru rodzaju dostępu naczyniowego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10 pkt.</w:t>
            </w:r>
          </w:p>
          <w:p w:rsidR="00F01F83" w:rsidRPr="00F64BE0" w:rsidRDefault="00F01F83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3" w:rsidRPr="00F64BE0" w:rsidRDefault="00F01F83">
            <w:pPr>
              <w:rPr>
                <w:rFonts w:asciiTheme="majorHAnsi" w:eastAsiaTheme="minorEastAsia" w:hAnsiTheme="majorHAnsi" w:cstheme="minorBidi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ind w:right="-108"/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BE0" w:rsidRPr="00F64BE0" w:rsidRDefault="00F64BE0">
            <w:pPr>
              <w:rPr>
                <w:rFonts w:asciiTheme="majorHAnsi" w:hAnsiTheme="majorHAnsi" w:cs="Tunga"/>
                <w:color w:val="000000"/>
              </w:rPr>
            </w:pPr>
            <w:r w:rsidRPr="00F64BE0">
              <w:rPr>
                <w:rFonts w:asciiTheme="majorHAnsi" w:hAnsiTheme="majorHAnsi" w:cs="Tunga"/>
                <w:sz w:val="22"/>
                <w:szCs w:val="22"/>
              </w:rPr>
              <w:t>Autoryzowany serwis producenta na terenie Polski lub umowa z autoryzowanym serwisem o świadczeniu usług - należy wskazać siedzibę, nazwę, kontakt telefoniczny</w:t>
            </w:r>
            <w:r w:rsidRPr="00F64BE0">
              <w:rPr>
                <w:rFonts w:asciiTheme="majorHAnsi" w:hAnsiTheme="majorHAnsi" w:cs="Tung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BE0" w:rsidRP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64BE0" w:rsidRP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E0" w:rsidRPr="00F64BE0" w:rsidRDefault="00F64BE0">
            <w:pPr>
              <w:jc w:val="center"/>
              <w:rPr>
                <w:rFonts w:asciiTheme="majorHAnsi" w:hAnsiTheme="majorHAnsi" w:cs="Tunga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ind w:right="-108"/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BE0" w:rsidRPr="00F64BE0" w:rsidRDefault="00F64BE0">
            <w:pPr>
              <w:pStyle w:val="Nagwek2"/>
              <w:jc w:val="left"/>
              <w:rPr>
                <w:rFonts w:asciiTheme="majorHAnsi" w:hAnsiTheme="majorHAnsi" w:cs="Tunga"/>
                <w:b w:val="0"/>
                <w:sz w:val="22"/>
              </w:rPr>
            </w:pPr>
            <w:r w:rsidRPr="00F64BE0">
              <w:rPr>
                <w:rFonts w:asciiTheme="majorHAnsi" w:hAnsiTheme="majorHAnsi" w:cs="Tunga"/>
                <w:b w:val="0"/>
                <w:sz w:val="22"/>
                <w:szCs w:val="22"/>
              </w:rPr>
              <w:t xml:space="preserve">Instalacja i szkolenie w miejscu instalacji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BE0" w:rsidRP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64BE0" w:rsidRPr="00F64BE0" w:rsidRDefault="00F64BE0" w:rsidP="00F01F83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E0" w:rsidRPr="00F64BE0" w:rsidRDefault="00F64BE0">
            <w:pPr>
              <w:jc w:val="center"/>
              <w:rPr>
                <w:rFonts w:asciiTheme="majorHAnsi" w:hAnsiTheme="majorHAnsi" w:cs="Tunga"/>
              </w:rPr>
            </w:pPr>
          </w:p>
        </w:tc>
      </w:tr>
      <w:tr w:rsidR="00F64BE0" w:rsidRPr="00F64BE0" w:rsidTr="007F3DF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BE0" w:rsidRPr="00F64BE0" w:rsidRDefault="00F64BE0" w:rsidP="00F64BE0">
            <w:pPr>
              <w:pStyle w:val="Akapitzlist"/>
              <w:numPr>
                <w:ilvl w:val="0"/>
                <w:numId w:val="1"/>
              </w:numPr>
              <w:ind w:right="-108"/>
              <w:rPr>
                <w:rFonts w:asciiTheme="majorHAnsi" w:hAnsiTheme="majorHAnsi" w:cs="Tung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BE0" w:rsidRPr="00F64BE0" w:rsidRDefault="00F64BE0">
            <w:pPr>
              <w:pStyle w:val="Nagwek2"/>
              <w:jc w:val="left"/>
              <w:rPr>
                <w:rFonts w:asciiTheme="majorHAnsi" w:hAnsiTheme="majorHAnsi" w:cs="Tunga"/>
                <w:b w:val="0"/>
                <w:sz w:val="22"/>
              </w:rPr>
            </w:pPr>
            <w:r w:rsidRPr="00F64BE0">
              <w:rPr>
                <w:rFonts w:asciiTheme="majorHAnsi" w:hAnsiTheme="majorHAnsi" w:cs="Tunga"/>
                <w:b w:val="0"/>
                <w:sz w:val="22"/>
                <w:szCs w:val="22"/>
              </w:rPr>
              <w:t>Przeglądy techniczne w okresie gwarancji. Należy podać wymaganą przez producenta urządzenia częstotliwość dokonywania przeglądów technicznych.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Tak – 5 pkt.</w:t>
            </w:r>
          </w:p>
          <w:p w:rsidR="00F64BE0" w:rsidRPr="00F64BE0" w:rsidRDefault="00F64BE0" w:rsidP="00F64BE0">
            <w:pPr>
              <w:jc w:val="center"/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Nie – 0 pkt.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E0" w:rsidRPr="00F64BE0" w:rsidRDefault="00F64BE0">
            <w:pPr>
              <w:jc w:val="center"/>
              <w:rPr>
                <w:rFonts w:asciiTheme="majorHAnsi" w:hAnsiTheme="majorHAnsi" w:cs="Tunga"/>
              </w:rPr>
            </w:pPr>
          </w:p>
        </w:tc>
      </w:tr>
    </w:tbl>
    <w:p w:rsidR="00F01F83" w:rsidRPr="00F64BE0" w:rsidRDefault="00F01F83">
      <w:pPr>
        <w:rPr>
          <w:rFonts w:asciiTheme="majorHAnsi" w:hAnsiTheme="majorHAnsi"/>
          <w:sz w:val="22"/>
          <w:szCs w:val="22"/>
        </w:rPr>
      </w:pPr>
    </w:p>
    <w:sectPr w:rsidR="00F01F83" w:rsidRPr="00F64BE0" w:rsidSect="00F6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C96"/>
    <w:multiLevelType w:val="hybridMultilevel"/>
    <w:tmpl w:val="D8887A7A"/>
    <w:lvl w:ilvl="0" w:tplc="E1DE9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4BE0"/>
    <w:rsid w:val="00011853"/>
    <w:rsid w:val="00021481"/>
    <w:rsid w:val="0003152B"/>
    <w:rsid w:val="002C6609"/>
    <w:rsid w:val="00345BCF"/>
    <w:rsid w:val="00552932"/>
    <w:rsid w:val="007458BC"/>
    <w:rsid w:val="007D2F4F"/>
    <w:rsid w:val="007F3DFB"/>
    <w:rsid w:val="00A77307"/>
    <w:rsid w:val="00BD57C4"/>
    <w:rsid w:val="00BF321A"/>
    <w:rsid w:val="00DB7700"/>
    <w:rsid w:val="00F01F83"/>
    <w:rsid w:val="00F43AAC"/>
    <w:rsid w:val="00F6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unhideWhenUsed/>
    <w:qFormat/>
    <w:rsid w:val="00F64BE0"/>
    <w:pPr>
      <w:keepNext/>
      <w:tabs>
        <w:tab w:val="left" w:pos="0"/>
      </w:tabs>
      <w:jc w:val="both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F6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link w:val="Nagwek2"/>
    <w:locked/>
    <w:rsid w:val="00F64BE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703A-DFFC-4BCD-AA00-A75DDF0D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ewelina.piorkowska</dc:creator>
  <cp:keywords/>
  <dc:description/>
  <cp:lastModifiedBy>ewelina.piorkowska</cp:lastModifiedBy>
  <cp:revision>5</cp:revision>
  <cp:lastPrinted>2020-09-11T11:39:00Z</cp:lastPrinted>
  <dcterms:created xsi:type="dcterms:W3CDTF">2020-09-11T10:39:00Z</dcterms:created>
  <dcterms:modified xsi:type="dcterms:W3CDTF">2020-09-14T11:46:00Z</dcterms:modified>
</cp:coreProperties>
</file>