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Łóżko </w:t>
            </w:r>
            <w:proofErr w:type="spellStart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bariatryczne</w:t>
            </w:r>
            <w:proofErr w:type="spellEnd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64102C09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Konstrukcja łóżka wykonana ze stali węglowej lakierowanej proszkowo, leże podparte w 4 </w:t>
            </w:r>
            <w:r w:rsidR="00524E46">
              <w:rPr>
                <w:rFonts w:asciiTheme="minorHAnsi" w:hAnsiTheme="minorHAnsi" w:cstheme="minorHAnsi"/>
                <w:sz w:val="20"/>
              </w:rPr>
              <w:t>punktach,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przewodów kroplówek</w:t>
            </w:r>
            <w:r>
              <w:rPr>
                <w:rFonts w:asciiTheme="minorHAnsi" w:hAnsiTheme="minorHAnsi" w:cstheme="minorHAnsi"/>
                <w:sz w:val="20"/>
              </w:rPr>
              <w:t xml:space="preserve"> i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tlenu</w:t>
            </w:r>
            <w:r w:rsidR="00524E46">
              <w:rPr>
                <w:rFonts w:asciiTheme="minorHAnsi" w:hAnsiTheme="minorHAnsi" w:cstheme="minorHAnsi"/>
                <w:sz w:val="20"/>
              </w:rPr>
              <w:t xml:space="preserve"> oraz innych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E427B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7B5" w:rsidRPr="00F816F0">
              <w:rPr>
                <w:rFonts w:asciiTheme="minorHAnsi" w:hAnsiTheme="minorHAnsi" w:cstheme="minorHAnsi"/>
                <w:sz w:val="20"/>
                <w:szCs w:val="20"/>
              </w:rPr>
              <w:t>Parametr istotny ze względu na zabiegi pielęgnacyjne z pacjentem anestezjologicznym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3E402E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F816F0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74DA6CEC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Dopuszczalne bezpieczne obciążenie robocze 500 kg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(pacjent wraz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urządzeniami, w tym m.in.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posiadane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ECMO)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0D6DE871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Maksymalna waga pacjenta 454 kg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7AB" w14:textId="51CDD1D5" w:rsidR="008A3042" w:rsidRPr="00F816F0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CF1" w14:textId="5FF7B3DD" w:rsidR="008A3042" w:rsidRPr="00F816F0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465" w14:textId="46318734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894" w14:textId="650D3BB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427B5"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FED" w14:textId="5E7D5D84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37E7E05D" w:rsidR="00D003FF" w:rsidRPr="00F816F0" w:rsidRDefault="00D003FF" w:rsidP="00D003F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minimalna leża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47cm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CDB6613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maksymalna leża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68cm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FC8" w14:textId="77777777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wysokości leża,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oparcia pleców,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zgięcia kolanowego,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długości segmentu nożnego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szerokości łóżka</w:t>
            </w:r>
          </w:p>
          <w:p w14:paraId="74F3B2BE" w14:textId="3C30CB39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 ruchów,  ustawienie sekcji wezgłowia i ud w maksymalnym położeniu oraz przechył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860" w14:textId="750B331A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A61" w14:textId="0532340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wbudowane w barierki boczne, z przyciskami membranowymi, obsługującymi wszystkie funkcje elektryczne łóżka. Lokalizacja 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54C" w14:textId="504C8A16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E91" w14:textId="6B19003F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E3C" w14:textId="7ABA283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6334" w14:textId="11A58205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3CE" w14:textId="3EED6AD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macerację skóry, zmniejszając tym samym ryzyko powstawania odleżyn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AB1" w14:textId="52A652F9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6FC" w14:textId="4F6925C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Wysięgnik pacjenta montowany do niezależnego gniazda, posiadający nośność </w:t>
            </w:r>
            <w:r w:rsidR="00E70BB4"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="00B44DEC" w:rsidRPr="00B44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EA6C0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 w:rsidR="00B80B8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="00B44B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44B34">
              <w:t xml:space="preserve"> </w:t>
            </w:r>
            <w:r w:rsidR="00B44B34"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 w:rsidR="00B44B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726455" w:rsidRPr="00F816F0" w:rsidRDefault="00C04C29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726455" w:rsidRPr="00F816F0" w:rsidRDefault="00726455" w:rsidP="0072645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726455" w:rsidRPr="00F816F0" w:rsidRDefault="00726455" w:rsidP="0072645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726455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726455" w:rsidRPr="00F816F0" w:rsidRDefault="00524E46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48D8891D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proszkowo, leże podparte w 4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unktach,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E46" w:rsidRPr="00F816F0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524E46" w:rsidRPr="00F816F0" w:rsidRDefault="00524E46" w:rsidP="00524E46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524E46" w:rsidRPr="00F816F0" w:rsidRDefault="00524E46" w:rsidP="00524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przewodów kroplówek, tlenu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innych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Parametr istotny ze względu na zabiegi pielęgnacyjne z pacjentem anestezjologicznym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524E46" w:rsidRPr="00F816F0" w:rsidRDefault="00524E46" w:rsidP="00524E4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524E46" w:rsidRPr="00F816F0" w:rsidRDefault="00524E46" w:rsidP="00524E4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70A5F7B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Dopuszczalne bezpieczne obciążenie robocze - 295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z podniesionymi barierkami bocznymi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726455" w:rsidRPr="00B8033A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z opuszczonymi barierkami bocznymi 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B8033A" w:rsidRPr="00B803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726455" w:rsidRPr="00F816F0" w:rsidRDefault="00B8033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726455" w:rsidRPr="00F816F0" w:rsidRDefault="00E427B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8AF" w14:textId="456CFFA4" w:rsidR="00726455" w:rsidRPr="00F816F0" w:rsidRDefault="00E427B5" w:rsidP="00E427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726455" w:rsidRPr="008C3ECA" w:rsidRDefault="00726455" w:rsidP="008C3ECA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58260BE7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726455" w:rsidRPr="00F816F0" w:rsidRDefault="00A3565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02240E13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9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726455" w:rsidRPr="00F816F0" w:rsidRDefault="00A3565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pojedyncze antystatyczne bez widocznej osi obrotu łatwe do dezynfekcji koła o średnicy </w:t>
            </w:r>
            <w:r w:rsidR="00A3565E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15 cm</w:t>
            </w:r>
            <w:r w:rsidR="00A3565E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78BF2E16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726455" w:rsidRPr="0046634C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Wysokość barierek bez materaca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43 cm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286BCC0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726455" w:rsidRPr="00F816F0" w:rsidRDefault="00E7480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wysokości leża, oparcia pleców, zgięcia kolanowego,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Regulacja segmentu oparcia pleców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0-7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7777777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4BCE41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0° - 18°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726455" w:rsidRPr="00F816F0" w:rsidRDefault="00B80B8F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726455" w:rsidRPr="00B80B8F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726455" w:rsidRPr="00F816F0" w:rsidRDefault="00E17BAA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wyjściowa, od szczytu dolnego. Łóżko rozpoczyna serię skoordynowanych 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0BDC6172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horyzontalna – pozioma. Łóżko rozpoczyna serię skoordynowanych ruchów poziomujących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1DEA3001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Zakres pomiaru wagi do 22</w:t>
            </w:r>
            <w:r w:rsidR="00B80B8F" w:rsidRPr="00B80B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80B8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CF8" w14:textId="075565C8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2B7" w14:textId="722E6153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444" w14:textId="56C35B6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>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 w:rsidR="00C04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 w:rsidR="000702FE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2FA" w14:textId="4EEC23C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702F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>Zintegrowany z ramą łóżka przeciwodleżynowy, powietrzny materac terapeutyczny. Pokrowiec materaca wodoszczelny ze zgrzewanymi krawędziami, paro przepuszczalny.</w:t>
            </w:r>
            <w:r w:rsidR="00C04C29"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726455" w:rsidRPr="00F816F0" w:rsidRDefault="000702FE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726455" w:rsidRPr="00F816F0" w:rsidRDefault="00726455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C24" w14:textId="6EC3BF6B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702FE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0702FE" w:rsidRPr="00F816F0" w:rsidRDefault="000702FE" w:rsidP="000702FE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0702FE" w:rsidRPr="00F816F0" w:rsidRDefault="000702FE" w:rsidP="000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CA5" w14:textId="336726CE" w:rsidR="000702FE" w:rsidRPr="00F816F0" w:rsidRDefault="000702FE" w:rsidP="000702F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0702FE" w:rsidRPr="00F816F0" w:rsidRDefault="000702FE" w:rsidP="000702F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726455" w:rsidRPr="00F816F0" w:rsidRDefault="004F2360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7EC" w14:textId="1445A012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726455" w:rsidRPr="00F816F0" w:rsidRDefault="00726455" w:rsidP="003D0C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0B2" w14:textId="38B00475" w:rsidR="00726455" w:rsidRPr="00F816F0" w:rsidRDefault="00E25F9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B44B34" w:rsidRPr="00F816F0" w:rsidRDefault="00B44B34" w:rsidP="00B44B34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B44B34" w:rsidRPr="00F816F0" w:rsidRDefault="00B44B34" w:rsidP="00B44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726455" w:rsidRPr="00F816F0" w:rsidRDefault="0072645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726455" w:rsidRPr="00F816F0" w:rsidRDefault="00726455" w:rsidP="007264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726455" w:rsidRPr="00F816F0" w:rsidRDefault="00E25F9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726455" w:rsidRPr="00F816F0" w:rsidRDefault="00726455" w:rsidP="00726455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E25F9B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E25F9B" w:rsidRPr="00F816F0" w:rsidRDefault="00E25F9B" w:rsidP="00E25F9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E25F9B" w:rsidRPr="00F816F0" w:rsidRDefault="00E25F9B" w:rsidP="00E25F9B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E25F9B" w:rsidRPr="00F816F0" w:rsidRDefault="00E25F9B" w:rsidP="00E25F9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E25F9B" w:rsidRPr="00F816F0" w:rsidRDefault="00E25F9B" w:rsidP="00E25F9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5F9B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E25F9B" w:rsidRPr="00F816F0" w:rsidRDefault="00E25F9B" w:rsidP="00E25F9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E25F9B" w:rsidRPr="00F816F0" w:rsidRDefault="00E25F9B" w:rsidP="00E25F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E25F9B" w:rsidRPr="00F816F0" w:rsidRDefault="00E25F9B" w:rsidP="00E25F9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E25F9B" w:rsidRPr="00F816F0" w:rsidRDefault="00E25F9B" w:rsidP="00E25F9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3437CC1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215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Szerokość całkowita łóżka przy całkowicie podniesionych lub opuszczonych barierkach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>do 100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5C70D8" w:rsidRPr="00F816F0" w:rsidRDefault="00E25F9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66A78D37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43 cm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+/-1cm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(dla pojedynczych kółek 150 mm)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6A61D20B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8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>+/-1cm</w:t>
            </w:r>
            <w:r w:rsidR="00107AEF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(dla pojedynczych kółek 150 mm)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65A80D6F" w:rsidR="005C70D8" w:rsidRPr="00231958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Konstrukcja zapewniająca prześwit pod łóżkiem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20 cm </w:t>
            </w:r>
            <w:r w:rsidR="00231958"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± 5%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3195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178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 w:rsidR="00A24E01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718809B7" w:rsidR="005C70D8" w:rsidRPr="00A24E01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Zakres regulacji segmentu uda w stosunku do poziomu ramy leża min. 0-28°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08F34522" w:rsidR="005C70D8" w:rsidRPr="00A24E01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Zakres regulacji segmentu podudzia w stosunku do poziomu ramy leża. Manualna regulacja segmentu podudzia min. -3° do -20°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5C70D8" w:rsidRPr="00F816F0" w:rsidRDefault="00A21784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2AB0CFC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pozycji </w:t>
            </w:r>
            <w:proofErr w:type="spellStart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 min. ( -17°) - (+17°)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5C70D8" w:rsidRPr="00F816F0" w:rsidRDefault="00A24E0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 w:rsidR="00A217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24E01"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94ACA1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4E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254E0CA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Pozycja wyjściowa uzyskiwana z jednego przycisku/piktogramu – regulowana elektrycznie. Łóżko rozpoczyna serię skoordynowanych ruchów tj. poziomuje segment ud, podnosi jednocześnie segment oparcia do 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5C70D8" w:rsidRPr="00F816F0" w:rsidRDefault="006C44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 w:rsidR="006C44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 w:rsidR="006C445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C445D"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5C70D8" w:rsidRPr="00F816F0" w:rsidRDefault="00B03FA3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94182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 w:rsidR="00E3513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969" w14:textId="4309648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513B">
              <w:rPr>
                <w:rFonts w:asciiTheme="minorHAnsi" w:hAnsiTheme="minorHAnsi" w:cstheme="minorHAnsi"/>
                <w:sz w:val="20"/>
                <w:szCs w:val="20"/>
              </w:rPr>
              <w:t>Automatyczne wygaszenie ekranu LCD</w:t>
            </w:r>
            <w:r w:rsidR="00E3513B" w:rsidRPr="00E351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</w:tc>
      </w:tr>
      <w:tr w:rsidR="005C70D8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94182A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94182A" w:rsidRP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5C70D8" w:rsidRPr="0094182A" w:rsidRDefault="005C70D8" w:rsidP="00D34D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 w:rsidR="009418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7DF" w14:textId="2B78DCB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4B6" w14:textId="3B4B318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D94" w14:textId="2D2EBCF6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BB9" w14:textId="0A9224E9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5734" w14:textId="19A5A217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1E1E6F96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Grubość materaca max. </w:t>
            </w:r>
            <w:r w:rsidR="0094182A">
              <w:rPr>
                <w:rFonts w:asciiTheme="minorHAnsi" w:hAnsiTheme="minorHAnsi"/>
                <w:sz w:val="20"/>
                <w:szCs w:val="20"/>
              </w:rPr>
              <w:t>22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E3513B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 w:rsidR="0094182A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 w:rsidR="0094182A"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94182A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E00" w14:textId="5DEFD73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 w:rsidR="0094182A">
              <w:rPr>
                <w:rFonts w:asciiTheme="minorHAnsi" w:hAnsiTheme="minorHAnsi"/>
                <w:sz w:val="20"/>
                <w:szCs w:val="20"/>
              </w:rPr>
              <w:t>co najmniej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5C70D8" w:rsidRPr="00F816F0" w:rsidRDefault="0094182A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5C70D8" w:rsidRPr="00F816F0" w:rsidRDefault="0034282E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 w:rsidR="00E3513B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5C70D8" w:rsidRPr="00F816F0" w:rsidRDefault="00E3513B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 w:rsidR="0034282E"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4B4B499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B44B34" w:rsidRPr="00F816F0" w:rsidRDefault="00B44B34" w:rsidP="00B44B34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B44B34" w:rsidRPr="00F816F0" w:rsidRDefault="00B44B34" w:rsidP="00B44B34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5C70D8" w:rsidRPr="00F816F0" w:rsidRDefault="005C70D8" w:rsidP="003D0CEC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5C70D8" w:rsidRPr="00F816F0" w:rsidRDefault="0034282E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5C70D8" w:rsidRPr="00F816F0" w:rsidRDefault="005C70D8" w:rsidP="005C70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5C70D8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5C70D8" w:rsidRPr="00F816F0" w:rsidRDefault="009D50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5C70D8" w:rsidRPr="00F816F0" w:rsidRDefault="009D505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Długość całkowita łóżka bez przedłużenia leża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5C70D8" w:rsidRPr="00F816F0" w:rsidRDefault="005927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927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5C70D8" w:rsidRPr="005927D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 przy całkowicie podniesionych lub opuszczonych barierkach </w:t>
            </w:r>
            <w:r w:rsidR="005927D0" w:rsidRPr="005927D0">
              <w:rPr>
                <w:rFonts w:asciiTheme="minorHAnsi" w:hAnsiTheme="minorHAnsi" w:cstheme="minorHAnsi"/>
                <w:sz w:val="20"/>
                <w:szCs w:val="20"/>
              </w:rPr>
              <w:t>do 100</w:t>
            </w: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927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5C70D8" w:rsidRPr="00F816F0" w:rsidRDefault="0095618D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5A44EEC4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Wysokość minimalna leża mierzona od podłoża do górnej płaszczyzny segmentów leża bez materaca 43 cm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+/-1cm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17CF9948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Wysokość maksymalna leża mierzona od podłoża do górnej płaszczyzny segmentów leża bez materaca 8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+/-1cm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dla pojedynczych kółek 150 mm)</w:t>
            </w:r>
            <w:r w:rsidR="00107AEF">
              <w:rPr>
                <w:rFonts w:asciiTheme="minorHAnsi" w:hAnsiTheme="minorHAnsi" w:cstheme="minorHAnsi"/>
                <w:sz w:val="20"/>
                <w:szCs w:val="20"/>
              </w:rPr>
              <w:t xml:space="preserve">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225D3F4F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Konstrukcja zapewniająca prześwit pod łóżkiem 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ok. 20 cm ± 5%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(dla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obejmujące materac, 2 szt. po każdej ze stron, zapobiegające przesuwaniu się materaca po płycie leża i ograniczające ryzyko zakleszczenia się pacjenta między materacem a barierkami bocznymi.</w:t>
            </w:r>
          </w:p>
          <w:p w14:paraId="7B50C966" w14:textId="0DBF039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5C70D8" w:rsidRPr="00F816F0" w:rsidRDefault="00E7480E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063AF6B8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Zakres regulacji segmentu uda w stosunku do poziomu ramy leża min. 0-28°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37FD50DD" w:rsidR="005C70D8" w:rsidRPr="000541D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Zakres regulacji segmentu podudzia w stosunku do poziomu ramy leża. Manualna regulacja segmentu podudzia min. -3° do -20°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2DD2A03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min. ( -17°) - (+17°)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541D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 ruchów, 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B7B7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3DE" w14:textId="10ABDA2F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Automatyczne wygaszenie ekranu LCD</w:t>
            </w:r>
            <w:r w:rsidR="000541D0" w:rsidRPr="000541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5C70D8" w:rsidRPr="00F816F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5C70D8" w:rsidRPr="00F816F0" w:rsidRDefault="005C70D8" w:rsidP="005C70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 w:rsidR="00DB7B71"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94182A" w:rsidRDefault="0094182A" w:rsidP="0094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94182A" w:rsidRP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5C70D8" w:rsidRPr="0094182A" w:rsidRDefault="0094182A" w:rsidP="00D34D2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0B9" w14:textId="238483D1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4182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CA0" w14:textId="3E588356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5C70D8" w:rsidRPr="00F816F0" w:rsidRDefault="005C70D8" w:rsidP="005C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 w:rsidR="00DB7B71"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214" w14:textId="6E6495C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655F" w14:textId="463AF0AD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 w:rsidR="00DB7B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05F" w14:textId="0421D46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5C70D8" w:rsidRPr="00F816F0" w:rsidRDefault="00DB7B71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5A4C0F2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max. 2</w:t>
            </w:r>
            <w:r w:rsidR="00D02E6D"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1D0"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5C70D8" w:rsidRPr="00F816F0" w:rsidRDefault="005C70D8" w:rsidP="005C70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DB7B71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 w:rsidR="00367438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9E6" w14:textId="1E9AD23A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 w:rsidR="00367438">
              <w:rPr>
                <w:rFonts w:asciiTheme="minorHAnsi" w:hAnsiTheme="minorHAnsi"/>
                <w:sz w:val="20"/>
                <w:szCs w:val="20"/>
              </w:rPr>
              <w:t>co najmniej</w:t>
            </w:r>
            <w:r w:rsidR="000541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5C70D8" w:rsidRPr="00F816F0" w:rsidRDefault="000541D0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 w:rsidR="000541D0" w:rsidRPr="000541D0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0541D0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5C70D8" w:rsidRPr="00F816F0" w:rsidRDefault="000541D0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5C70D8" w:rsidRPr="00F816F0" w:rsidRDefault="0036743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5C70D8" w:rsidRPr="00F816F0" w:rsidRDefault="005C70D8" w:rsidP="005C70D8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 w:rsidR="00367438"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5C70D8" w:rsidRPr="00F816F0" w:rsidRDefault="005C70D8" w:rsidP="005C70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4B34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B44B34" w:rsidRPr="00F816F0" w:rsidRDefault="00B44B34" w:rsidP="00B44B34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B44B34" w:rsidRPr="00F816F0" w:rsidRDefault="00B44B34" w:rsidP="00B44B34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B44B34" w:rsidRPr="00F816F0" w:rsidRDefault="00B44B34" w:rsidP="00B44B3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B44B34" w:rsidRPr="00F816F0" w:rsidRDefault="00B44B34" w:rsidP="00B44B3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70D8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5C70D8" w:rsidRPr="000541D0" w:rsidRDefault="005C70D8" w:rsidP="005C70D8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 w:rsidR="000541D0">
              <w:rPr>
                <w:rFonts w:asciiTheme="minorHAnsi" w:hAnsiTheme="minorHAnsi"/>
                <w:b/>
                <w:sz w:val="20"/>
                <w:u w:val="single"/>
              </w:rPr>
              <w:t xml:space="preserve"> wyposażona w </w:t>
            </w:r>
            <w:r w:rsidR="00367438">
              <w:rPr>
                <w:rFonts w:asciiTheme="minorHAnsi" w:hAnsiTheme="minorHAnsi"/>
                <w:b/>
                <w:sz w:val="20"/>
                <w:u w:val="single"/>
              </w:rPr>
              <w:t xml:space="preserve">standardowe elementy, w tym </w:t>
            </w:r>
            <w:r w:rsidR="000541D0">
              <w:rPr>
                <w:rFonts w:asciiTheme="minorHAnsi" w:hAnsiTheme="minorHAnsi"/>
                <w:b/>
                <w:sz w:val="20"/>
                <w:u w:val="single"/>
              </w:rPr>
              <w:t>wysięgniki</w:t>
            </w:r>
            <w:r w:rsidR="00367438">
              <w:rPr>
                <w:rFonts w:asciiTheme="minorHAnsi" w:hAnsiTheme="minorHAnsi"/>
                <w:b/>
                <w:sz w:val="20"/>
                <w:u w:val="single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5C70D8" w:rsidRPr="00F816F0" w:rsidRDefault="000541D0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5C70D8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5C70D8" w:rsidRPr="00F816F0" w:rsidRDefault="005C70D8" w:rsidP="003D0CEC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5C70D8" w:rsidRPr="00F816F0" w:rsidRDefault="005C70D8" w:rsidP="005C70D8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5C70D8" w:rsidRPr="00F816F0" w:rsidRDefault="00D02E6D" w:rsidP="005C70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5C70D8" w:rsidRPr="00F816F0" w:rsidRDefault="005C70D8" w:rsidP="005C70D8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1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16F380E3" w:rsidR="006155B7" w:rsidRPr="00F816F0" w:rsidRDefault="008C3ECA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A1B32" w:rsidRPr="008A1B32">
        <w:rPr>
          <w:rFonts w:asciiTheme="minorHAnsi" w:hAnsiTheme="minorHAnsi" w:cstheme="minorHAnsi"/>
          <w:b/>
          <w:bCs/>
          <w:sz w:val="22"/>
          <w:szCs w:val="22"/>
        </w:rPr>
        <w:t>System monitorowania wraz z aparatami do znieczulenia i respiratorami oraz klinicznym oprogramowaniem zarządczym na potrzeby Bloku operacyjnego oraz Oddziału Intensywnej Terapii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1FB65F3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skal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Każde stanowisko systemu monitorowania składa się z dużego monitora stacjonarnego, zapewniającego pełną obsługę funkcji monitorowania pacjenta oraz z niewielkich rozmiarów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proofErr w:type="spellStart"/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FA" w14:textId="7111F7B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3D9104F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metodą analizy kształtu fali ciśnienia tętniczego, kalibrowany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przezpłucnej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z wykorzystaniem cewnika Swan-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Ganz'a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pomiarowego: akcesoria wielorazowe do podłączenia zestawów pomiarowych z pomiarem temperatury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iniektatu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pneumotachowym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Flow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Alpha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%Beta, %Delta,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Theta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40BA6AEF" w:rsidR="0032136A" w:rsidRPr="00F816F0" w:rsidRDefault="0032136A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W komplecie do każdego modułu komplet przewodów, min. 100 elektrod igłowych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jednoczesny podgląd min. 4 krzywych dynamicznych dla każdego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skal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ocen (m.in.: APACHE II, GCS,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TISS-28, SOFA), tworzenie zleceń lekarskich, dokumentację procesu opieki pielęgniarskiej, generowanie raportów (w tym karta znieczulenia).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każdym 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jednoczesny podgląd min. 4 krzywych dynamicznych dla każdego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 xml:space="preserve"> ocen (m.in.: APACHE II, GCS, TISS-28, SOFA), tworzenie zleceń lekarskich, dokumentację </w:t>
            </w:r>
            <w:r w:rsidRPr="001359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procesu opieki pielęgniarskiej, generowanie raportów (w tym karta znieczulenia).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proofErr w:type="spellStart"/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Algorytm pomiarowy wykorzystuje dwutubowy systemem wężyków i mankietów, skokową deflację, odporny na zakłócenia, artefakty i niemiarową akcję serca, skraca czas pomiarów przez wstępne pompowanie mankietu do wartości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każdym 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ciśnieniowo – zmienny (PC) lub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tryb pracy w krążeniu pozaustrojowym, zapewniający: wentylację ręczną w krążeniu pozaustrojowym z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lastRenderedPageBreak/>
              <w:t>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</w:t>
            </w:r>
            <w:proofErr w:type="spellStart"/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proofErr w:type="spellStart"/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7777777" w:rsidR="00E92DE6" w:rsidRPr="006853D7" w:rsidRDefault="00E92DE6" w:rsidP="00E92DE6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kanałach. Pomiar 4 kanałów dostępny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każdym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kardio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monitorze.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ToF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zwalidowany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u pacjentów min. od 18 roku życia ) przez ciągłe monitorowanie reakcji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hemodynamicznej pacjenta na bodźce 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nocyceptywne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</w:t>
            </w:r>
            <w:proofErr w:type="spellStart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>CareStation</w:t>
            </w:r>
            <w:proofErr w:type="spellEnd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Zasilanie AC 230 V 50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BlLEVEL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APVcmv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APVsimv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SIMV-PRVC, Auto-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 wentylacji wybrany spośród: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Intellivent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minimalny zakres od 3-120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 od 0.3 do 8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maksymalnym, średnim i minimalnym umożliwiającym wykorzystanie do wyliczenia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albo oprogramowanie do pomiaru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lung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Flowmeter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oksygenacji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automatycznych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triggerów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ultrasoniczną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Zewnętrzny lub wbudowany w respirator manometr elektroniczny do pomiaru ciśnienia i automatycznego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w pomiar krzywej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dynostatycznej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preoksygenacji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sterylizowalne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7777777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77777777" w:rsidR="001120E6" w:rsidRPr="00F816F0" w:rsidRDefault="001120E6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powietrzem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7777777" w:rsidR="004955A8" w:rsidRPr="00F816F0" w:rsidRDefault="004955A8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CMV/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Assist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 dwóch poziomach ciśnienia typu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BiPAP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Bi-Level,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DuoPAP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F718E94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62778AB9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Oddech kontrolowany ciśnieniem z docelową objętością typu PRVC,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AutoFlow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Younesa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Variable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Pressure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Support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Automatyczna regulacja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triggera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wdechowego i wydechowego typu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IntelliSync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Hi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Flow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therapy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34FA22A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 pkt za ciśnieniowy tryb rozpoznawania oddechu własnego pacjenta w 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2535331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ciśnienia 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6C4CA2D9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EFC336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Vt</w:t>
            </w:r>
            <w:proofErr w:type="spellEnd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9CB2FB1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32F18C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1AE58440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 xml:space="preserve">ożliwość wyboru krzywej przepływu </w:t>
            </w:r>
            <w:r w:rsidRPr="00282822">
              <w:rPr>
                <w:rFonts w:asciiTheme="minorHAnsi" w:hAnsiTheme="minorHAnsi" w:cstheme="minorHAnsi"/>
                <w:sz w:val="20"/>
              </w:rPr>
              <w:lastRenderedPageBreak/>
              <w:t>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70E125B8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3D37DDF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234AEADB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0C2087C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5705F4A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1A875AD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tracheostomijnych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autoamatycznego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odsysania wydzieliny z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(kompatybilne z rurkami intubacyjnymi 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tracheostomijnymi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77777777" w:rsidR="001A3E57" w:rsidRPr="00F816F0" w:rsidRDefault="001A3E57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7EE3984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6609A09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Długość całkowita wózka  2170 mm +/- 10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688D0340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Maksymalna s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zerokość całkowita wózka </w:t>
            </w:r>
            <w:r>
              <w:rPr>
                <w:rFonts w:ascii="Calibri" w:hAnsi="Calibri" w:cs="Microsoft Sans Serif"/>
                <w:sz w:val="20"/>
                <w:szCs w:val="28"/>
              </w:rPr>
              <w:t>nie większa niż 840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mm</w:t>
            </w:r>
            <w:r>
              <w:rPr>
                <w:rFonts w:ascii="Calibri" w:hAnsi="Calibri" w:cs="Microsoft Sans Serif"/>
                <w:sz w:val="20"/>
                <w:szCs w:val="28"/>
              </w:rPr>
              <w:t>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3B4" w14:textId="1CC9EDBD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4FD6F4D6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Pojedyncze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E48" w14:textId="11391533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FCB" w14:textId="77777777" w:rsidR="00CC2003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>Hydrauliczna regulacja wysokości leża dostępna z obu stron wózka, za pomocą dźwigni nożnej w zakresie</w:t>
            </w:r>
            <w:r w:rsidR="00CC2003">
              <w:rPr>
                <w:rFonts w:ascii="Calibri" w:hAnsi="Calibri"/>
                <w:sz w:val="20"/>
                <w:szCs w:val="28"/>
              </w:rPr>
              <w:t>:</w:t>
            </w:r>
          </w:p>
          <w:p w14:paraId="4156E247" w14:textId="64C84DCD" w:rsidR="00CC2003" w:rsidRPr="00CC2003" w:rsidRDefault="00CC2003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nie wyżej niż do </w:t>
            </w:r>
            <w:r w:rsidR="00602711" w:rsidRPr="00CC2003">
              <w:rPr>
                <w:rFonts w:ascii="Calibri" w:hAnsi="Calibri" w:cs="Microsoft Sans Serif"/>
                <w:sz w:val="20"/>
                <w:szCs w:val="28"/>
              </w:rPr>
              <w:t>61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>cm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w dolnym położeniu</w:t>
            </w:r>
          </w:p>
          <w:p w14:paraId="6BC9BB94" w14:textId="6BC02A60" w:rsidR="00CC2003" w:rsidRPr="00CC2003" w:rsidRDefault="00CC2003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nie niżej niż do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 xml:space="preserve"> 88</w:t>
            </w:r>
            <w:r w:rsidR="00602711" w:rsidRPr="00CC2003">
              <w:rPr>
                <w:rFonts w:ascii="Calibri" w:hAnsi="Calibri" w:cs="Microsoft Sans Serif"/>
                <w:sz w:val="20"/>
                <w:szCs w:val="28"/>
              </w:rPr>
              <w:t xml:space="preserve">cm </w:t>
            </w:r>
            <w:r>
              <w:rPr>
                <w:rFonts w:ascii="Calibri" w:hAnsi="Calibri" w:cs="Microsoft Sans Serif"/>
                <w:sz w:val="20"/>
                <w:szCs w:val="28"/>
              </w:rPr>
              <w:t>w górnym położeniu</w:t>
            </w:r>
          </w:p>
          <w:p w14:paraId="3A30D89C" w14:textId="06CFC51E" w:rsidR="00602711" w:rsidRPr="00CC2003" w:rsidRDefault="00602711" w:rsidP="00CC2003">
            <w:pPr>
              <w:rPr>
                <w:rFonts w:asciiTheme="minorHAnsi" w:hAnsiTheme="minorHAnsi" w:cstheme="minorHAnsi"/>
                <w:sz w:val="20"/>
              </w:rPr>
            </w:pPr>
            <w:r w:rsidRPr="00CC2003">
              <w:rPr>
                <w:rFonts w:ascii="Calibri" w:hAnsi="Calibri" w:cs="Microsoft Sans Serif"/>
                <w:sz w:val="20"/>
                <w:szCs w:val="28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CE" w14:textId="1F39BC1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11A0B79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Regulacja segmentu pleców manualna ze wspomaganiem sprężyn gazowych w zakresie od 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-90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32BEF42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Pozycja </w:t>
            </w:r>
            <w:proofErr w:type="spellStart"/>
            <w:r w:rsidRPr="00602711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602711">
              <w:rPr>
                <w:rFonts w:ascii="Calibri" w:hAnsi="Calibri" w:cs="Microsoft Sans Serif"/>
                <w:sz w:val="20"/>
                <w:szCs w:val="28"/>
              </w:rPr>
              <w:t>/ anty-</w:t>
            </w:r>
            <w:proofErr w:type="spellStart"/>
            <w:r w:rsidRPr="00602711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regulowana hydraulicznie w zakresie 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1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przy użyciu pedałów nożnych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5552275F" w:rsidR="00882474" w:rsidRPr="00E4263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</w:t>
            </w:r>
            <w:r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488501A4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- 250 kg</w:t>
            </w:r>
            <w:r w:rsidRPr="00E42636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i dopuszczalna waga przewożonego pacjenta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66C251B2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Długość całkowita wózka  2170 mm +/- 10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7CAA8FFE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Maksymalna s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zerokość całkowita wózka </w:t>
            </w:r>
            <w:r>
              <w:rPr>
                <w:rFonts w:ascii="Calibri" w:hAnsi="Calibri" w:cs="Microsoft Sans Serif"/>
                <w:sz w:val="20"/>
                <w:szCs w:val="28"/>
              </w:rPr>
              <w:t>nie większa niż 840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mm</w:t>
            </w:r>
            <w:r>
              <w:rPr>
                <w:rFonts w:ascii="Calibri" w:hAnsi="Calibri" w:cs="Microsoft Sans Serif"/>
                <w:sz w:val="20"/>
                <w:szCs w:val="28"/>
              </w:rPr>
              <w:t>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B374" w14:textId="7391585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4402283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Pojedyncze koła o średnicy 17 cm, antystatyczne,  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F0F" w14:textId="29F72BD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640" w14:textId="77777777" w:rsidR="00882474" w:rsidRDefault="00882474" w:rsidP="00882474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>Hydrauliczna regulacja wysokości leża dostępna z obu stron wózka, za pomocą dźwigni nożnej w zakresie</w:t>
            </w:r>
            <w:r>
              <w:rPr>
                <w:rFonts w:ascii="Calibri" w:hAnsi="Calibri"/>
                <w:sz w:val="20"/>
                <w:szCs w:val="28"/>
              </w:rPr>
              <w:t>:</w:t>
            </w:r>
          </w:p>
          <w:p w14:paraId="51742430" w14:textId="77777777" w:rsidR="00882474" w:rsidRPr="00CC2003" w:rsidRDefault="00882474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nie wyżej niż do 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>61cm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w dolnym położeniu</w:t>
            </w:r>
          </w:p>
          <w:p w14:paraId="6F9D3574" w14:textId="77777777" w:rsidR="00882474" w:rsidRPr="00CC2003" w:rsidRDefault="00882474" w:rsidP="00D34D2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nie niżej niż do</w:t>
            </w:r>
            <w:r w:rsidRPr="00CC2003">
              <w:rPr>
                <w:rFonts w:ascii="Calibri" w:hAnsi="Calibri" w:cs="Microsoft Sans Serif"/>
                <w:sz w:val="20"/>
                <w:szCs w:val="28"/>
              </w:rPr>
              <w:t xml:space="preserve"> 88cm </w:t>
            </w:r>
            <w:r>
              <w:rPr>
                <w:rFonts w:ascii="Calibri" w:hAnsi="Calibri" w:cs="Microsoft Sans Serif"/>
                <w:sz w:val="20"/>
                <w:szCs w:val="28"/>
              </w:rPr>
              <w:t>w górnym położeniu</w:t>
            </w:r>
          </w:p>
          <w:p w14:paraId="05E6BC0B" w14:textId="7D18922E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CC2003">
              <w:rPr>
                <w:rFonts w:ascii="Calibri" w:hAnsi="Calibri" w:cs="Microsoft Sans Serif"/>
                <w:sz w:val="20"/>
                <w:szCs w:val="28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Barierki boczne chromowane, składane z gładką, wyprofilowaną powierzchnią tworzywową w kolorze czerwonym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603" w14:textId="595C502F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3459D44F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Regulacja segmentu pleców manualna ze wspomaganiem sprężyn gazowych w zakresie od 0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-90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336DB79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Pozycja </w:t>
            </w:r>
            <w:proofErr w:type="spellStart"/>
            <w:r w:rsidRPr="00E42636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E42636">
              <w:rPr>
                <w:rFonts w:ascii="Calibri" w:hAnsi="Calibri" w:cs="Microsoft Sans Serif"/>
                <w:sz w:val="20"/>
                <w:szCs w:val="28"/>
              </w:rPr>
              <w:t>/ anty-</w:t>
            </w:r>
            <w:proofErr w:type="spellStart"/>
            <w:r w:rsidRPr="00E42636">
              <w:rPr>
                <w:rFonts w:ascii="Calibri" w:hAnsi="Calibri" w:cs="Microsoft Sans Serif"/>
                <w:sz w:val="20"/>
                <w:szCs w:val="28"/>
              </w:rPr>
              <w:t>Trendelenburga</w:t>
            </w:r>
            <w:proofErr w:type="spellEnd"/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regulowana hydraulicznie w zakresie 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1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sym w:font="Symbol" w:char="F0B0"/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przy użyciu pedałów nożnych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A57C1D" w:rsidRDefault="00C12E17" w:rsidP="00C12E17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57C1D">
              <w:rPr>
                <w:rFonts w:asciiTheme="minorHAnsi" w:hAnsiTheme="minorHAnsi" w:cstheme="minorHAnsi"/>
                <w:strike/>
                <w:sz w:val="20"/>
              </w:rPr>
              <w:t>Funkcja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A57C1D" w:rsidRDefault="00C12E17" w:rsidP="00C12E17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A57C1D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Defibrylacja przez łyżki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defibrylacyjne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40D6CE4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Łyżki twarde z regulacją energii defibrylacji, wyposażone w przycisk umożliwiający drukowanie na żądanie. Mocowanie łyżek twardych bezpośrednio w obudowie urządzenia spełniające normę PN-EN 1789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 lub równoważną.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Pełna obsługa defibrylatora z łyżek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</w:t>
            </w:r>
            <w:proofErr w:type="spellStart"/>
            <w:r w:rsidR="00231FDE" w:rsidRPr="00231FDE">
              <w:rPr>
                <w:rFonts w:asciiTheme="minorHAnsi" w:hAnsiTheme="minorHAnsi" w:cstheme="minorHAnsi"/>
                <w:sz w:val="20"/>
              </w:rPr>
              <w:t>radiotransparentne</w:t>
            </w:r>
            <w:proofErr w:type="spellEnd"/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Regulacja prądu stymulacji 0-170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mA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wzmocnienia sygnału EKG od 0,5 do 4cm/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Mv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32B31020" w:rsidR="00217C95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w 1 sztuce (w tej samej sztuce, która zawiera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zgodnie z pkt.36) oraz możliwość rozbudowy o moduł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) w pozostałych 5 sztukach.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238AF870" w:rsidR="00C12E17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1 sztuce (w tej samej sztuce, która zawiera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z pkt. 34) oraz możliwość rozbudowy o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pozostałych 5 sztukach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EEE983E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Min. 20 poziomów energii wyładowania w zakresie od 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0CFBF24F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Poziomy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energii</w:t>
            </w:r>
            <w:r>
              <w:rPr>
                <w:rFonts w:asciiTheme="minorHAnsi" w:hAnsiTheme="minorHAnsi" w:cstheme="minorHAnsi"/>
                <w:sz w:val="20"/>
              </w:rPr>
              <w:t xml:space="preserve"> do wybory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>: 1, 2, 3, 4, 5, 6, 7, 8, 9, 10, 15, 20, 30, 50, 70, 100, 120,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4B4B285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poleceń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5F244839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Wyświetlanie na ekranie defibrylatora komunikatów (następnych kroków) niezbędnych do wykonania kardiowersji.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BD8" w14:textId="16DD1610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możliwość monitorowania CO2 oraz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Sygnał EKG z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06426B6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Pomiar częstości akcji serca we wszystkich trybach defibrylatora w zakresie min. 16 – 300 uderzeń na minutę dla osoby dorosłej oraz min. 16-350 uderzeń na minutę dla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Wybór odprowadzenia z: elektrod EKG, łyżek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Filtr EKG o częstotliwości sieci zasilającej 50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60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asystolia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D70" w14:textId="06F04273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defibrylacyjnego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104F98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Częstość: min. od 30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./min do 180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./min ze skokiem co 10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76A" w14:textId="47CA940F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Wyświetlanie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Prezentacja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Możliwość rozbudowy o opcje EtCO2 w strumieniu bocznym lub głównym. Pomiar EtCO2,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Ładowanie akumulatorów z sieci 100-240 V AC / 50 lub 60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Typ akumulatora –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 xml:space="preserve">-jonowy lub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C66" w14:textId="00E8C39B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</w:t>
            </w:r>
            <w:proofErr w:type="spellStart"/>
            <w:r w:rsidRPr="00C61690">
              <w:rPr>
                <w:rFonts w:asciiTheme="minorHAnsi" w:hAnsiTheme="minorHAnsi" w:cstheme="minorHAnsi"/>
                <w:sz w:val="20"/>
              </w:rPr>
              <w:t>demontowalny</w:t>
            </w:r>
            <w:proofErr w:type="spellEnd"/>
            <w:r w:rsidRPr="00C61690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transportowy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Waga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respiratora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100-240 V 50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>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na dwóch poziomach typu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BiPAP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BiLevel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Adaptacyjny tryb wentylacji w zamkniętej pętli oddechowej wg wzoru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Mead’a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Częstość oddechów 1-80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0.1 do 12,0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sek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RCexp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Rinsp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5F7CE0" w:rsidRDefault="005F7CE0" w:rsidP="005F7CE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Standbay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Autotest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F1096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10960">
              <w:rPr>
                <w:rFonts w:asciiTheme="minorHAnsi" w:hAnsiTheme="minorHAnsi" w:cstheme="minorHAnsi"/>
                <w:sz w:val="20"/>
              </w:rPr>
              <w:t>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na dwóch poziomach ciśnienia typu BIPAP,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BlLEVEL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Mead'a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przezpłucne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Terapia wysokim przepływem tlenu -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Nawilżacz z automatyczną nastawą temperatury. Wybór terapii między inwazyjną, nieinwazyjną oraz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Standbay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Kompensacja oporu rurki dotchawicznej,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trachestomijnej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dotętnicowa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4DF4A20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11-16 V DC, zasilanie przy użyciu zasilacza zewnętrznego lub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19E2C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nawigacyjna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45B9AC1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Podświetlany ekran i przyciski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ją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regulacji na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 najmniej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721A20C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głośności w zakresie od 59dBA do 74dBA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4F527F2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jasności i kontrastu ekranu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5855849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z akumulatora wewnętrznego min 12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39E83AC7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Wymiana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akumulatora przez użytkownika bez użycia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9EC" w14:textId="285CF2C0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skonfigurowania do min. 50 oddziałów w jednej pompie.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min-max;limity</w:t>
            </w:r>
            <w:proofErr w:type="spellEnd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) - automatyczne przejmowanie infuzji przez kolejną pompę natychmiast po zakończeniu infuzji w poprzedniej. 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Infusion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Remifentanyli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4D284B54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roducentów w stężeniu 0,5%, 1% i 2%.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Protokół podawania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Marsch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Schnider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1C131A17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0,5% i 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2365F7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opcjonalnego rozszerzenia oprogramowania trybu PCA zarówno dla pomp strzykawkowych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jak </w:t>
            </w:r>
            <w:r w:rsidR="00471A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EC3" w14:textId="4ED06F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dostosowania treści wyświetlanych na ekranie pompy do wymagań użytkownika.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0DE8AF2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procentach %.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C1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69EF3A3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75 mmHg do 900mmHg, z wyborem na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460" w14:textId="4A218B2A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Bateria Wi-Fi do łączności bezprzewodowej - 10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1258F1" w:rsidRDefault="001258F1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DB7" w14:textId="78C30319" w:rsidR="0030787F" w:rsidRPr="00E01EAC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690D69E1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- 60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25CE193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11-16 V DC, zasilanie przy użyciu zasilacza zewnętrznego lub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7578C40B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Zasilanie z akumulatora wewnętrznego min 12 h. przy przepływie 25 ml/h.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30BB49EB" w:rsidR="0030787F" w:rsidRPr="0030787F" w:rsidRDefault="001258F1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Wymiana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akumulatora przez użytkownika bez użycia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97B" w14:textId="7199DB6F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779C969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Podświetlany ekran i przyciski z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="001258F1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regulacji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0300AA0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głośności w zakresie od 59dBA do 74dBA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5DEF30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jasności i kontrastu ekranu na 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71722303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skonfigurowania do min.50 oddziałów w jednej pompie.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ć</w:t>
            </w:r>
            <w:proofErr w:type="spellEnd"/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</w:t>
            </w:r>
            <w:proofErr w:type="spellStart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piggyback</w:t>
            </w:r>
            <w:proofErr w:type="spellEnd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D2" w14:textId="2A500AE3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programowanym, z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funkcją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zaprogramowania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 przynajmniej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12 faz. Każda faza o określonych parametrach takich jak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prędkość, czas, objętość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4E786C5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Czułość techniczna – wykrywanie pojedynczych pęcherzyków powietrza ≤ 0,01 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następujące dane: ostatni wynik badania poziomu glukozy we krwi, żywienie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enteralnego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jedną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strzykawkową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2F62C5" w:rsidRDefault="002F62C5" w:rsidP="004B508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P</w:t>
            </w:r>
            <w:r w:rsidR="004B5083"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rac</w:t>
            </w:r>
            <w:r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a</w:t>
            </w:r>
            <w:r w:rsidR="004B5083" w:rsidRPr="002F6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604" w14:textId="2BE0FBFE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Dodatkowy interfejs do posiadanych przez Zmawiającego stacji dokujących </w:t>
            </w:r>
            <w:proofErr w:type="spellStart"/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Bbraun</w:t>
            </w:r>
            <w:proofErr w:type="spellEnd"/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o numerze katalogowym 8713140 - 31 szt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omunikacj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Systemami PDMS (System Zarządzania Danymi Pacjentów) firm Philips,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Drager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Capsule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Technologie,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Cerner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Copra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IMDsoft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GE, Space </w:t>
            </w:r>
            <w:proofErr w:type="spellStart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Labs</w:t>
            </w:r>
            <w:proofErr w:type="spellEnd"/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</w:t>
            </w:r>
            <w:proofErr w:type="spellStart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WiFi</w:t>
            </w:r>
            <w:proofErr w:type="spellEnd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Okno zawierające informacje o bieżących infuzjach, terminach zakończenia infuzji w poszczególnych pompach - 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54794A5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Dystrybucja bibliotek leków jednym kliknięciem dla wszystkich wybranych oddziałów, z dowoln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selekcj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2F9" w14:textId="5771EEF4" w:rsidR="00E01EAC" w:rsidRPr="00B055DF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7B4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AF9F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96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9B8" w14:textId="28F8663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Oprogramowanie automatycznie gromadzące informacje o urządzeniach podłączonych do systemu, 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nadz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o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r</w:t>
            </w:r>
            <w:r w:rsidR="006C3AB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u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nad systemem infuzyjnym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ED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17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FCBA8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9F7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34C" w14:textId="3B0E927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Prezentacja w formie tabeli podłączonych urządzeń, oraz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funkcja</w:t>
            </w:r>
            <w:r w:rsidR="006C3AB7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filtrowania sposobu wyświetlania (</w:t>
            </w:r>
            <w:r w:rsidR="00311A99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m.in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 lokalizacja, typ urządzenia)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041" w14:textId="1E246F69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11A9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E8B1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9AB53E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E7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8EB" w14:textId="391632E7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</w:rPr>
            </w:pP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 przypadku utraty łączności z urządzeniem</w:t>
            </w:r>
            <w:r w:rsidR="00311A99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</w:t>
            </w:r>
            <w:r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system wyświetla informację o lokalizacji: ostatnio widziane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4B6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EF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B5AB6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07DA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E9D" w14:textId="0B2FB83A" w:rsidR="00E01EAC" w:rsidRPr="00E01EAC" w:rsidRDefault="00311A99" w:rsidP="00E01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przypisania dla każdego urządzenia numeru inwentarzowego nadanego w jednostce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D67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D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47C3685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52F" w14:textId="77777777" w:rsidR="004B5083" w:rsidRPr="00F816F0" w:rsidRDefault="004B5083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04C" w14:textId="78F31F7B" w:rsidR="004B5083" w:rsidRPr="001A79CD" w:rsidRDefault="00311A99" w:rsidP="004B5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B055DF" w:rsidRPr="00B055DF">
              <w:rPr>
                <w:rFonts w:asciiTheme="minorHAnsi" w:hAnsiTheme="minorHAnsi" w:cstheme="minorHAnsi"/>
                <w:color w:val="000000"/>
                <w:sz w:val="20"/>
              </w:rPr>
              <w:t xml:space="preserve">przypisania dla każdego urządzenia daty przeglądu technicznego, oraz późniejszego wygenerowania raportu pdf lub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D60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DCD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2AC93886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- 73 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554ECE0A" w:rsidR="00AC66D2" w:rsidRPr="00AC66D2" w:rsidRDefault="00AC66D2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Pompa infuzyjna strzykawkowa prost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ale pooperacyjne,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ale poznieczuleniowe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przy Endoskopii i Chirurgii 1-dnia oraz SOR 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- 61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Hz</w:t>
            </w:r>
            <w:proofErr w:type="spellEnd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Kolorowy wyświetlacz czytelny pod kątem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przynajmniej </w:t>
            </w: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1571D7" w:rsidRDefault="00F65564" w:rsidP="0015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1571D7"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1571D7" w:rsidRDefault="00F65564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1571D7"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Komunikacja pomiędzy pompą a stacja dokującą za pośrednictwem </w:t>
            </w:r>
            <w:proofErr w:type="spellStart"/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1571D7" w:rsidRDefault="001571D7" w:rsidP="001571D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F816F0" w:rsidRDefault="001571D7" w:rsidP="001571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F816F0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1571D7" w:rsidRDefault="001571D7" w:rsidP="001571D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1571D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Dostępne strzykawki i akcesoria do żywienia dojelitowego ze złączem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ENFit</w:t>
            </w:r>
            <w:proofErr w:type="spellEnd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EA49E7" w:rsidRDefault="00F65564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rogramowani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e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parametrów infuzji min. w jednostkach: mg,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IE,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uwzględnieniem lub nie masy ciała w odniesieniu do czasu (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m.in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EA49E7" w:rsidRDefault="00401E06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podaży bolusa w jednostkach mg,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mEq</w:t>
            </w:r>
            <w:proofErr w:type="spellEnd"/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Tryb nocny z redukcją intensywności podświetlenia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Tryb nocny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EA49E7" w:rsidRDefault="00401E06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Funkcja</w:t>
            </w:r>
            <w:r w:rsidR="00EA49E7"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Biblioteka zawiera min. 3000 leków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podzielenia na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30 kategorii i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Każdy lek może występować w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przynajmniej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Wbudowany akumulator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litowo</w:t>
            </w:r>
            <w:proofErr w:type="spellEnd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z wbudowanego akumulatora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B343E7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co najmniej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9 poziomach w zakresie od 45 do 75 </w:t>
            </w:r>
            <w:proofErr w:type="spellStart"/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dB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EA49E7" w:rsidRDefault="00EA49E7" w:rsidP="00EA49E7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funkcją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zapisania do </w:t>
            </w:r>
            <w:r w:rsidR="0033435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min. </w:t>
            </w:r>
            <w:r w:rsidRPr="00EA49E7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Default="00EA49E7" w:rsidP="00EA49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FA1">
              <w:rPr>
                <w:rFonts w:asciiTheme="minorHAnsi" w:hAnsiTheme="minorHAnsi" w:cstheme="minorHAnsi"/>
                <w:sz w:val="20"/>
              </w:rPr>
              <w:t>TAK</w:t>
            </w:r>
            <w:r w:rsidR="0033435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F816F0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55E85713" w:rsidR="00F1094A" w:rsidRPr="00F816F0" w:rsidRDefault="00F1094A" w:rsidP="00EA49E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Pompa infuzyjna objętościowa</w:t>
            </w:r>
            <w: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ale pooperacyjne,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</w:t>
            </w:r>
            <w:r w:rsidRPr="00AC66D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ale poznieczuleniowe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przy Endoskopii i Chirurgii 1-dnia oraz SOR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- 25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 w:rsidR="0087280A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Zasilanie 230V 50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Hz</w:t>
            </w:r>
            <w:proofErr w:type="spellEnd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Masa pompy gotowej do użycia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Kolorowy wyświetlacz czytelny pod kątem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co najmniej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Linia infuzyjna mocowana od przodu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Dostępne dreny do podaży żywienia dojelitowego ze złączem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Komunikacja pomiędzy pompą a stacją dokującą za pośrednictwem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IrDA</w:t>
            </w:r>
            <w:proofErr w:type="spellEnd"/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e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parametrów infuzji min. w jednostkach: mg,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IE,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z uwzględnieniem lub nie masy ciała w odniesieniu do czasu (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m.in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podaży bolusa w jednostkach mg,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mEq</w:t>
            </w:r>
            <w:proofErr w:type="spellEnd"/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403FA1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Tryb nocny z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funkcją</w:t>
            </w:r>
            <w:r w:rsidR="0087280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F1094A" w:rsidRDefault="0087280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F1094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Biblioteka zawiera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3000 leków, z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funkcją</w:t>
            </w:r>
            <w:r w:rsidR="0087280A"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podzielenia na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30 kategorii i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Każdy lek może występować w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min.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Wbudowany akumulator </w:t>
            </w:r>
            <w:proofErr w:type="spellStart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litowo</w:t>
            </w:r>
            <w:proofErr w:type="spellEnd"/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Zasilanie z wbudowanego akumulatora </w:t>
            </w: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do 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F1094A" w:rsidRDefault="00F1094A" w:rsidP="00F1094A">
            <w:pPr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3660C4" w:rsidRDefault="00F1094A" w:rsidP="00F109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60C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F816F0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F1094A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poz. E i F</w:t>
            </w:r>
            <w:r w:rsidRPr="00F1094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w poz. E i F, 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współprac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ująca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</w:t>
            </w:r>
            <w:r w:rsidR="0087280A">
              <w:rPr>
                <w:rFonts w:asciiTheme="minorHAnsi" w:hAnsiTheme="minorHAnsi" w:cstheme="minorHAnsi"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Hz</w:t>
            </w:r>
            <w:proofErr w:type="spellEnd"/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pozostają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2311A8" w:rsidRDefault="0087280A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Funkcja</w:t>
            </w:r>
            <w:r w:rsidRPr="00F1094A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 </w:t>
            </w:r>
            <w:r w:rsidR="002311A8"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 funkcją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jednoczesne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go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zasilani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a min.</w:t>
            </w: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2311A8" w:rsidRDefault="002311A8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2311A8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3660C4" w:rsidRDefault="002311A8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F816F0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87280A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Stojak medyczny - 13 szt</w:t>
            </w:r>
            <w: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highlight w:val="lightGray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Stojak medyczny 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2311A8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M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Default="001B1A9F" w:rsidP="002311A8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</w:t>
            </w:r>
            <w:r w:rsidRPr="001B1A9F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Default="001B1A9F" w:rsidP="002311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F816F0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Przepływomierz awaryjny O</w:t>
            </w:r>
            <w:r w:rsidRPr="00555F8D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o  przepływie O</w:t>
            </w:r>
            <w:r w:rsidRPr="00555F8D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 l/min. Możliwa wentylacja ręczna i mechaniczna w trybie awaryjnym.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Pauza w przepływie gazów minimum do 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A8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wbudowany w korpus aparatu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0E38" w14:textId="07C26C2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Dodatkowo oporu i elastancji</w:t>
            </w:r>
          </w:p>
          <w:p w14:paraId="25429214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4D04" w14:textId="1F51AD92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67A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wykorzystania monitora do transportu: 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nie cięższy niż 7,5 kg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wygodny uchwyt do przenoszenia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monitor gotowy do uruchomienia łączności bezprzewodowej, umożliwiającej centralne monitorowanie podczas transportu i na stanowisku bez sieci przewodowej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Oprogramowanie realizujące funkcje: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kalkulatora lekowego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kalkulatora parametrów hemodynamicznych, wentylacyjnych i natlenienia</w:t>
            </w:r>
            <w:r w:rsidRPr="00AD055F">
              <w:rPr>
                <w:rFonts w:asciiTheme="minorHAnsi" w:hAnsiTheme="minorHAnsi" w:cstheme="minorHAnsi"/>
                <w:sz w:val="20"/>
                <w:szCs w:val="20"/>
              </w:rPr>
              <w:br/>
              <w:t>- obliczeń nerkowych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 zamocowany na oferowanym aparacie do znieczulania i połączony z nim, wyświetla przebiegi dynamiczne, łącznie z pętlami oddechowymi oraz wartości liczbowe danych z aparatu.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W trybie "</w:t>
            </w:r>
            <w:proofErr w:type="spellStart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W trybie "</w:t>
            </w:r>
            <w:proofErr w:type="spellStart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Zakres pomiarowy minimum: 15-350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 xml:space="preserve">Pomiar SpO2 algorytmem </w:t>
            </w:r>
            <w:proofErr w:type="spellStart"/>
            <w:r w:rsidRPr="00AD055F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AD055F">
              <w:rPr>
                <w:rFonts w:asciiTheme="minorHAnsi" w:hAnsiTheme="minorHAnsi" w:cstheme="minorHAnsi"/>
                <w:sz w:val="20"/>
              </w:rPr>
              <w:t xml:space="preserve"> z możliwością stosowania wszystkich czujników z oferty firmy </w:t>
            </w:r>
            <w:proofErr w:type="spellStart"/>
            <w:r w:rsidRPr="00AD055F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EB0" w14:textId="024CE8B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Kardiomonitor wyposażony w funkcję przypisania do poszczególnych torów pomiarowych inwazyjnego pomiaru ciśnienia nazw powiązanych z miejscem pomiaru, w tym </w:t>
            </w: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</w:rPr>
              <w:t>Wyświetlanie temperatury T1, T2 i różnicy temperatur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DBCF7" w14:textId="77777777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lastRenderedPageBreak/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9C2C7F" w:rsidRDefault="009C2C7F" w:rsidP="00DF1622">
      <w:r>
        <w:separator/>
      </w:r>
    </w:p>
  </w:endnote>
  <w:endnote w:type="continuationSeparator" w:id="0">
    <w:p w14:paraId="56980D50" w14:textId="77777777" w:rsidR="009C2C7F" w:rsidRDefault="009C2C7F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642E0" w:rsidRDefault="00D642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642E0" w:rsidRDefault="00D64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9C2C7F" w:rsidRDefault="009C2C7F" w:rsidP="00DF1622">
      <w:r>
        <w:separator/>
      </w:r>
    </w:p>
  </w:footnote>
  <w:footnote w:type="continuationSeparator" w:id="0">
    <w:p w14:paraId="147D847C" w14:textId="77777777" w:rsidR="009C2C7F" w:rsidRDefault="009C2C7F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7261"/>
    <w:rsid w:val="000275EA"/>
    <w:rsid w:val="00034F40"/>
    <w:rsid w:val="000367E4"/>
    <w:rsid w:val="0003793A"/>
    <w:rsid w:val="00040270"/>
    <w:rsid w:val="000402D9"/>
    <w:rsid w:val="00041839"/>
    <w:rsid w:val="00041FF3"/>
    <w:rsid w:val="0005401F"/>
    <w:rsid w:val="000541D0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47C3"/>
    <w:rsid w:val="00076F1F"/>
    <w:rsid w:val="00086578"/>
    <w:rsid w:val="00092120"/>
    <w:rsid w:val="0009527F"/>
    <w:rsid w:val="00095514"/>
    <w:rsid w:val="0009553B"/>
    <w:rsid w:val="00096602"/>
    <w:rsid w:val="00096FE9"/>
    <w:rsid w:val="000B14BD"/>
    <w:rsid w:val="000B4317"/>
    <w:rsid w:val="000B5168"/>
    <w:rsid w:val="000B5F47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6A5E"/>
    <w:rsid w:val="0014075D"/>
    <w:rsid w:val="00142C8A"/>
    <w:rsid w:val="0014586B"/>
    <w:rsid w:val="00154807"/>
    <w:rsid w:val="001571D7"/>
    <w:rsid w:val="00161454"/>
    <w:rsid w:val="0016218F"/>
    <w:rsid w:val="00163B84"/>
    <w:rsid w:val="0016457B"/>
    <w:rsid w:val="0017273F"/>
    <w:rsid w:val="00173DF9"/>
    <w:rsid w:val="00176A64"/>
    <w:rsid w:val="00180510"/>
    <w:rsid w:val="00180928"/>
    <w:rsid w:val="00187DE7"/>
    <w:rsid w:val="00190E89"/>
    <w:rsid w:val="00191806"/>
    <w:rsid w:val="001925F0"/>
    <w:rsid w:val="001A0413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6874"/>
    <w:rsid w:val="001E36FB"/>
    <w:rsid w:val="001E4754"/>
    <w:rsid w:val="001E6156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6BAB"/>
    <w:rsid w:val="00246E66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614A"/>
    <w:rsid w:val="002732C2"/>
    <w:rsid w:val="0027521B"/>
    <w:rsid w:val="002763B3"/>
    <w:rsid w:val="00282822"/>
    <w:rsid w:val="0028306A"/>
    <w:rsid w:val="00292FF0"/>
    <w:rsid w:val="002A0A48"/>
    <w:rsid w:val="002A0F3A"/>
    <w:rsid w:val="002A25B1"/>
    <w:rsid w:val="002A6B9D"/>
    <w:rsid w:val="002B131C"/>
    <w:rsid w:val="002B2A36"/>
    <w:rsid w:val="002B56B0"/>
    <w:rsid w:val="002B5ADF"/>
    <w:rsid w:val="002B7765"/>
    <w:rsid w:val="002C0B07"/>
    <w:rsid w:val="002C15C0"/>
    <w:rsid w:val="002C4422"/>
    <w:rsid w:val="002C4575"/>
    <w:rsid w:val="002C4816"/>
    <w:rsid w:val="002D0ED1"/>
    <w:rsid w:val="002E16F0"/>
    <w:rsid w:val="002F62C5"/>
    <w:rsid w:val="002F6B18"/>
    <w:rsid w:val="00300273"/>
    <w:rsid w:val="00300897"/>
    <w:rsid w:val="00305862"/>
    <w:rsid w:val="0030787F"/>
    <w:rsid w:val="003111C7"/>
    <w:rsid w:val="00311A99"/>
    <w:rsid w:val="00320839"/>
    <w:rsid w:val="00320CC1"/>
    <w:rsid w:val="0032136A"/>
    <w:rsid w:val="0033435A"/>
    <w:rsid w:val="0033470B"/>
    <w:rsid w:val="0033538C"/>
    <w:rsid w:val="003377F2"/>
    <w:rsid w:val="00340156"/>
    <w:rsid w:val="0034282E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A31F9"/>
    <w:rsid w:val="003A3E27"/>
    <w:rsid w:val="003A7E0A"/>
    <w:rsid w:val="003B1DC9"/>
    <w:rsid w:val="003B29B9"/>
    <w:rsid w:val="003C3B2E"/>
    <w:rsid w:val="003D0CEC"/>
    <w:rsid w:val="003D5FFF"/>
    <w:rsid w:val="003E22AE"/>
    <w:rsid w:val="003E402E"/>
    <w:rsid w:val="003F16AB"/>
    <w:rsid w:val="003F3404"/>
    <w:rsid w:val="003F45B6"/>
    <w:rsid w:val="003F50FA"/>
    <w:rsid w:val="003F622F"/>
    <w:rsid w:val="003F6700"/>
    <w:rsid w:val="00401E06"/>
    <w:rsid w:val="004133F1"/>
    <w:rsid w:val="00421D2A"/>
    <w:rsid w:val="00446D09"/>
    <w:rsid w:val="00446F16"/>
    <w:rsid w:val="00447CD2"/>
    <w:rsid w:val="00450B1C"/>
    <w:rsid w:val="00450F5E"/>
    <w:rsid w:val="0045429A"/>
    <w:rsid w:val="00461AA7"/>
    <w:rsid w:val="00461BE0"/>
    <w:rsid w:val="0046634C"/>
    <w:rsid w:val="00471A8E"/>
    <w:rsid w:val="00472D0C"/>
    <w:rsid w:val="00474C3E"/>
    <w:rsid w:val="00476D44"/>
    <w:rsid w:val="00486FD2"/>
    <w:rsid w:val="0049197A"/>
    <w:rsid w:val="004923A3"/>
    <w:rsid w:val="004955A8"/>
    <w:rsid w:val="00496BA4"/>
    <w:rsid w:val="004976E0"/>
    <w:rsid w:val="004B5083"/>
    <w:rsid w:val="004C0F78"/>
    <w:rsid w:val="004C16D4"/>
    <w:rsid w:val="004C1AFF"/>
    <w:rsid w:val="004C1B9F"/>
    <w:rsid w:val="004C31CB"/>
    <w:rsid w:val="004D14D9"/>
    <w:rsid w:val="004D1DB1"/>
    <w:rsid w:val="004D256C"/>
    <w:rsid w:val="004D342B"/>
    <w:rsid w:val="004D7936"/>
    <w:rsid w:val="004D7EE7"/>
    <w:rsid w:val="004E2748"/>
    <w:rsid w:val="004E4103"/>
    <w:rsid w:val="004E517B"/>
    <w:rsid w:val="004F0B8C"/>
    <w:rsid w:val="004F2360"/>
    <w:rsid w:val="004F39BE"/>
    <w:rsid w:val="004F54DB"/>
    <w:rsid w:val="0050282F"/>
    <w:rsid w:val="00505C56"/>
    <w:rsid w:val="005066FC"/>
    <w:rsid w:val="00506E7A"/>
    <w:rsid w:val="005104B6"/>
    <w:rsid w:val="0051626F"/>
    <w:rsid w:val="00522858"/>
    <w:rsid w:val="00524E46"/>
    <w:rsid w:val="00524FD1"/>
    <w:rsid w:val="00530BAA"/>
    <w:rsid w:val="00545473"/>
    <w:rsid w:val="005470D4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B0201"/>
    <w:rsid w:val="005B21E9"/>
    <w:rsid w:val="005C07FE"/>
    <w:rsid w:val="005C1B42"/>
    <w:rsid w:val="005C3EAA"/>
    <w:rsid w:val="005C4FF0"/>
    <w:rsid w:val="005C56FB"/>
    <w:rsid w:val="005C642B"/>
    <w:rsid w:val="005C70D8"/>
    <w:rsid w:val="005D337F"/>
    <w:rsid w:val="005D4192"/>
    <w:rsid w:val="005D60E8"/>
    <w:rsid w:val="005E0B7C"/>
    <w:rsid w:val="005E31A7"/>
    <w:rsid w:val="005E70E1"/>
    <w:rsid w:val="005E7A21"/>
    <w:rsid w:val="005F4B3B"/>
    <w:rsid w:val="005F6D84"/>
    <w:rsid w:val="005F6F54"/>
    <w:rsid w:val="005F7CE0"/>
    <w:rsid w:val="00601DE2"/>
    <w:rsid w:val="00602711"/>
    <w:rsid w:val="00604035"/>
    <w:rsid w:val="006069A6"/>
    <w:rsid w:val="00607312"/>
    <w:rsid w:val="00613D29"/>
    <w:rsid w:val="006155B7"/>
    <w:rsid w:val="00621941"/>
    <w:rsid w:val="00624BF8"/>
    <w:rsid w:val="00634FB6"/>
    <w:rsid w:val="00635C83"/>
    <w:rsid w:val="00636911"/>
    <w:rsid w:val="00641609"/>
    <w:rsid w:val="006539E7"/>
    <w:rsid w:val="00654B6F"/>
    <w:rsid w:val="00655058"/>
    <w:rsid w:val="006573F5"/>
    <w:rsid w:val="00657AB9"/>
    <w:rsid w:val="00660753"/>
    <w:rsid w:val="006653A4"/>
    <w:rsid w:val="006760A5"/>
    <w:rsid w:val="0068226A"/>
    <w:rsid w:val="00684F4B"/>
    <w:rsid w:val="006853D7"/>
    <w:rsid w:val="00687BC3"/>
    <w:rsid w:val="00692244"/>
    <w:rsid w:val="00693EAB"/>
    <w:rsid w:val="00695FB4"/>
    <w:rsid w:val="00696865"/>
    <w:rsid w:val="006A0D6E"/>
    <w:rsid w:val="006A41F5"/>
    <w:rsid w:val="006B1270"/>
    <w:rsid w:val="006C2583"/>
    <w:rsid w:val="006C30EB"/>
    <w:rsid w:val="006C3AB7"/>
    <w:rsid w:val="006C445D"/>
    <w:rsid w:val="006D5B12"/>
    <w:rsid w:val="006E273A"/>
    <w:rsid w:val="006F036D"/>
    <w:rsid w:val="006F720F"/>
    <w:rsid w:val="0070451D"/>
    <w:rsid w:val="00705454"/>
    <w:rsid w:val="00705600"/>
    <w:rsid w:val="00705776"/>
    <w:rsid w:val="0071083D"/>
    <w:rsid w:val="007245FE"/>
    <w:rsid w:val="00726455"/>
    <w:rsid w:val="007466DA"/>
    <w:rsid w:val="00754A7E"/>
    <w:rsid w:val="00755C3E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33F6"/>
    <w:rsid w:val="007845E5"/>
    <w:rsid w:val="007858CA"/>
    <w:rsid w:val="00786504"/>
    <w:rsid w:val="00787B4C"/>
    <w:rsid w:val="00797789"/>
    <w:rsid w:val="00797B5B"/>
    <w:rsid w:val="007A41C1"/>
    <w:rsid w:val="007A659B"/>
    <w:rsid w:val="007B300D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45E"/>
    <w:rsid w:val="007D1F31"/>
    <w:rsid w:val="007D3846"/>
    <w:rsid w:val="007D4A21"/>
    <w:rsid w:val="007D592F"/>
    <w:rsid w:val="007E47B6"/>
    <w:rsid w:val="007E48DA"/>
    <w:rsid w:val="007E5B7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52571"/>
    <w:rsid w:val="0086442D"/>
    <w:rsid w:val="008670D4"/>
    <w:rsid w:val="0087280A"/>
    <w:rsid w:val="00874CB2"/>
    <w:rsid w:val="0087602F"/>
    <w:rsid w:val="00882474"/>
    <w:rsid w:val="008845E8"/>
    <w:rsid w:val="00886A20"/>
    <w:rsid w:val="008917A1"/>
    <w:rsid w:val="00894557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D1545"/>
    <w:rsid w:val="008D54B6"/>
    <w:rsid w:val="008D7248"/>
    <w:rsid w:val="008E6B89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B98"/>
    <w:rsid w:val="00930085"/>
    <w:rsid w:val="009306D2"/>
    <w:rsid w:val="009316AE"/>
    <w:rsid w:val="0094182A"/>
    <w:rsid w:val="00942743"/>
    <w:rsid w:val="00942A56"/>
    <w:rsid w:val="0095226F"/>
    <w:rsid w:val="00954425"/>
    <w:rsid w:val="00955FD5"/>
    <w:rsid w:val="0095618D"/>
    <w:rsid w:val="00960316"/>
    <w:rsid w:val="00961444"/>
    <w:rsid w:val="00963EF4"/>
    <w:rsid w:val="00966072"/>
    <w:rsid w:val="009735C5"/>
    <w:rsid w:val="00975E74"/>
    <w:rsid w:val="00976F07"/>
    <w:rsid w:val="009836AB"/>
    <w:rsid w:val="009879E1"/>
    <w:rsid w:val="009903FC"/>
    <w:rsid w:val="00990B36"/>
    <w:rsid w:val="00994FF8"/>
    <w:rsid w:val="009963E2"/>
    <w:rsid w:val="00997DB0"/>
    <w:rsid w:val="009A1D66"/>
    <w:rsid w:val="009A6A23"/>
    <w:rsid w:val="009B04E5"/>
    <w:rsid w:val="009B0B23"/>
    <w:rsid w:val="009B34BA"/>
    <w:rsid w:val="009B6A09"/>
    <w:rsid w:val="009C03CB"/>
    <w:rsid w:val="009C2C7F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A0561A"/>
    <w:rsid w:val="00A139F5"/>
    <w:rsid w:val="00A168A9"/>
    <w:rsid w:val="00A16FC8"/>
    <w:rsid w:val="00A2129E"/>
    <w:rsid w:val="00A21784"/>
    <w:rsid w:val="00A24E01"/>
    <w:rsid w:val="00A3565E"/>
    <w:rsid w:val="00A444B7"/>
    <w:rsid w:val="00A450ED"/>
    <w:rsid w:val="00A47787"/>
    <w:rsid w:val="00A530BD"/>
    <w:rsid w:val="00A57C1D"/>
    <w:rsid w:val="00A674A3"/>
    <w:rsid w:val="00A678E8"/>
    <w:rsid w:val="00A709E2"/>
    <w:rsid w:val="00A73CB5"/>
    <w:rsid w:val="00A76BD7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13498"/>
    <w:rsid w:val="00B151F1"/>
    <w:rsid w:val="00B17F98"/>
    <w:rsid w:val="00B22F48"/>
    <w:rsid w:val="00B31771"/>
    <w:rsid w:val="00B319A5"/>
    <w:rsid w:val="00B329EB"/>
    <w:rsid w:val="00B3396E"/>
    <w:rsid w:val="00B343E7"/>
    <w:rsid w:val="00B346AD"/>
    <w:rsid w:val="00B44B34"/>
    <w:rsid w:val="00B44DEC"/>
    <w:rsid w:val="00B47CA7"/>
    <w:rsid w:val="00B54F87"/>
    <w:rsid w:val="00B66CFF"/>
    <w:rsid w:val="00B702B7"/>
    <w:rsid w:val="00B71FA1"/>
    <w:rsid w:val="00B8033A"/>
    <w:rsid w:val="00B80B8F"/>
    <w:rsid w:val="00B862E7"/>
    <w:rsid w:val="00B92F5A"/>
    <w:rsid w:val="00B9447F"/>
    <w:rsid w:val="00B95FF4"/>
    <w:rsid w:val="00BA411E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C03163"/>
    <w:rsid w:val="00C03306"/>
    <w:rsid w:val="00C04C29"/>
    <w:rsid w:val="00C0778A"/>
    <w:rsid w:val="00C11E84"/>
    <w:rsid w:val="00C12E17"/>
    <w:rsid w:val="00C154B5"/>
    <w:rsid w:val="00C15893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A49"/>
    <w:rsid w:val="00C437BD"/>
    <w:rsid w:val="00C45023"/>
    <w:rsid w:val="00C50C47"/>
    <w:rsid w:val="00C53033"/>
    <w:rsid w:val="00C535CA"/>
    <w:rsid w:val="00C55F50"/>
    <w:rsid w:val="00C5692B"/>
    <w:rsid w:val="00C6033E"/>
    <w:rsid w:val="00C61690"/>
    <w:rsid w:val="00C61C27"/>
    <w:rsid w:val="00C62680"/>
    <w:rsid w:val="00C64E1C"/>
    <w:rsid w:val="00C71995"/>
    <w:rsid w:val="00C72AF1"/>
    <w:rsid w:val="00C73816"/>
    <w:rsid w:val="00C74500"/>
    <w:rsid w:val="00C77A67"/>
    <w:rsid w:val="00C858D7"/>
    <w:rsid w:val="00C8626A"/>
    <w:rsid w:val="00C878DF"/>
    <w:rsid w:val="00C929B2"/>
    <w:rsid w:val="00C94E1D"/>
    <w:rsid w:val="00C960FC"/>
    <w:rsid w:val="00CA1ECC"/>
    <w:rsid w:val="00CB152B"/>
    <w:rsid w:val="00CB4010"/>
    <w:rsid w:val="00CB6E0E"/>
    <w:rsid w:val="00CB6FD0"/>
    <w:rsid w:val="00CC07C0"/>
    <w:rsid w:val="00CC2003"/>
    <w:rsid w:val="00CC2945"/>
    <w:rsid w:val="00CC3CEA"/>
    <w:rsid w:val="00CD0936"/>
    <w:rsid w:val="00CD2D18"/>
    <w:rsid w:val="00CE2ECF"/>
    <w:rsid w:val="00CF37A0"/>
    <w:rsid w:val="00CF633F"/>
    <w:rsid w:val="00D003FF"/>
    <w:rsid w:val="00D02E6D"/>
    <w:rsid w:val="00D03217"/>
    <w:rsid w:val="00D042E1"/>
    <w:rsid w:val="00D062EF"/>
    <w:rsid w:val="00D115E4"/>
    <w:rsid w:val="00D12008"/>
    <w:rsid w:val="00D14A4C"/>
    <w:rsid w:val="00D14C18"/>
    <w:rsid w:val="00D150D3"/>
    <w:rsid w:val="00D16B96"/>
    <w:rsid w:val="00D21FED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63A2B"/>
    <w:rsid w:val="00D642E0"/>
    <w:rsid w:val="00D648F7"/>
    <w:rsid w:val="00D65A6B"/>
    <w:rsid w:val="00D65CAD"/>
    <w:rsid w:val="00D65EEC"/>
    <w:rsid w:val="00D716C5"/>
    <w:rsid w:val="00D7402D"/>
    <w:rsid w:val="00D7566D"/>
    <w:rsid w:val="00D762ED"/>
    <w:rsid w:val="00D77EA2"/>
    <w:rsid w:val="00D8618E"/>
    <w:rsid w:val="00D90189"/>
    <w:rsid w:val="00D90E18"/>
    <w:rsid w:val="00D90EC0"/>
    <w:rsid w:val="00D94448"/>
    <w:rsid w:val="00DA02F6"/>
    <w:rsid w:val="00DA0827"/>
    <w:rsid w:val="00DA4F81"/>
    <w:rsid w:val="00DA676B"/>
    <w:rsid w:val="00DA7C15"/>
    <w:rsid w:val="00DB3B26"/>
    <w:rsid w:val="00DB586C"/>
    <w:rsid w:val="00DB7B71"/>
    <w:rsid w:val="00DC0E69"/>
    <w:rsid w:val="00DC306B"/>
    <w:rsid w:val="00DC628B"/>
    <w:rsid w:val="00DD1C03"/>
    <w:rsid w:val="00DD4F40"/>
    <w:rsid w:val="00DE5898"/>
    <w:rsid w:val="00DE66C2"/>
    <w:rsid w:val="00DE6A7B"/>
    <w:rsid w:val="00DF1622"/>
    <w:rsid w:val="00DF6B1D"/>
    <w:rsid w:val="00DF6DB4"/>
    <w:rsid w:val="00E002D7"/>
    <w:rsid w:val="00E01449"/>
    <w:rsid w:val="00E017D1"/>
    <w:rsid w:val="00E01EAC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53E8A"/>
    <w:rsid w:val="00E5439C"/>
    <w:rsid w:val="00E62BF7"/>
    <w:rsid w:val="00E70BB4"/>
    <w:rsid w:val="00E7480E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5B2"/>
    <w:rsid w:val="00EC1F33"/>
    <w:rsid w:val="00EC668B"/>
    <w:rsid w:val="00EC6E4E"/>
    <w:rsid w:val="00ED0FA8"/>
    <w:rsid w:val="00ED5E31"/>
    <w:rsid w:val="00ED600D"/>
    <w:rsid w:val="00EE6493"/>
    <w:rsid w:val="00EF27F5"/>
    <w:rsid w:val="00EF3689"/>
    <w:rsid w:val="00F004AE"/>
    <w:rsid w:val="00F06482"/>
    <w:rsid w:val="00F07070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3A2"/>
    <w:rsid w:val="00F65564"/>
    <w:rsid w:val="00F65680"/>
    <w:rsid w:val="00F66BF4"/>
    <w:rsid w:val="00F67BC5"/>
    <w:rsid w:val="00F71579"/>
    <w:rsid w:val="00F80A79"/>
    <w:rsid w:val="00F81215"/>
    <w:rsid w:val="00F816F0"/>
    <w:rsid w:val="00F83229"/>
    <w:rsid w:val="00F93B47"/>
    <w:rsid w:val="00F94BAA"/>
    <w:rsid w:val="00F97162"/>
    <w:rsid w:val="00FA31F6"/>
    <w:rsid w:val="00FB31DF"/>
    <w:rsid w:val="00FC021B"/>
    <w:rsid w:val="00FC06E1"/>
    <w:rsid w:val="00FC1DEB"/>
    <w:rsid w:val="00FC4F2B"/>
    <w:rsid w:val="00FD5007"/>
    <w:rsid w:val="00FD7D3D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7E62E-7586-4B5E-AB24-F1C26CB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129</Pages>
  <Words>32877</Words>
  <Characters>197268</Characters>
  <Application>Microsoft Office Word</Application>
  <DocSecurity>0</DocSecurity>
  <Lines>1643</Lines>
  <Paragraphs>459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87</cp:revision>
  <cp:lastPrinted>2022-11-30T12:59:00Z</cp:lastPrinted>
  <dcterms:created xsi:type="dcterms:W3CDTF">2023-02-06T08:42:00Z</dcterms:created>
  <dcterms:modified xsi:type="dcterms:W3CDTF">2023-03-02T14:00:00Z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