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5C3" w:rsidRDefault="004F25C3" w:rsidP="0080468F">
      <w:r>
        <w:rPr>
          <w:b/>
        </w:rPr>
        <w:t>COZL/DZP/AS/3412/PN-219/20</w:t>
      </w:r>
      <w:r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b/>
        </w:rPr>
        <w:t>Lublin, dnia 11.01.2021 r.</w:t>
      </w:r>
    </w:p>
    <w:p w:rsidR="004F25C3" w:rsidRDefault="004F25C3" w:rsidP="0080468F">
      <w:pPr>
        <w:pStyle w:val="BodyText"/>
        <w:ind w:left="360"/>
        <w:rPr>
          <w:sz w:val="22"/>
          <w:szCs w:val="22"/>
        </w:rPr>
      </w:pPr>
    </w:p>
    <w:p w:rsidR="004F25C3" w:rsidRPr="00683165" w:rsidRDefault="004F25C3" w:rsidP="0080468F">
      <w:pPr>
        <w:pStyle w:val="BodyText"/>
        <w:ind w:left="5760"/>
      </w:pPr>
      <w:r w:rsidRPr="00683165">
        <w:rPr>
          <w:b/>
        </w:rPr>
        <w:t>Do wszystkich wykonawców</w:t>
      </w:r>
    </w:p>
    <w:p w:rsidR="004F25C3" w:rsidRPr="00683165" w:rsidRDefault="004F25C3" w:rsidP="0080468F">
      <w:pPr>
        <w:pStyle w:val="Listapunktowana21"/>
        <w:rPr>
          <w:bCs/>
        </w:rPr>
      </w:pPr>
    </w:p>
    <w:p w:rsidR="004F25C3" w:rsidRPr="00683165" w:rsidRDefault="004F25C3" w:rsidP="0080468F">
      <w:pPr>
        <w:pStyle w:val="Listapunktowana21"/>
        <w:ind w:left="0" w:firstLine="0"/>
      </w:pPr>
      <w:r w:rsidRPr="00683165">
        <w:rPr>
          <w:bCs/>
        </w:rPr>
        <w:t>Dotyczy postępowania prowadzonego w trybie przetargu nieograniczonego</w:t>
      </w:r>
      <w:r w:rsidRPr="00683165">
        <w:rPr>
          <w:b/>
        </w:rPr>
        <w:t xml:space="preserve"> </w:t>
      </w:r>
      <w:r w:rsidRPr="00683165">
        <w:t>na :</w:t>
      </w:r>
    </w:p>
    <w:p w:rsidR="004F25C3" w:rsidRDefault="004F25C3" w:rsidP="000F0803">
      <w:pPr>
        <w:spacing w:before="100" w:beforeAutospacing="1" w:after="142"/>
        <w:jc w:val="center"/>
        <w:rPr>
          <w:rFonts w:ascii="Times New Roman" w:hAnsi="Times New Roman"/>
          <w:b/>
          <w:bCs/>
          <w:lang w:eastAsia="pl-PL"/>
        </w:rPr>
      </w:pPr>
      <w:r>
        <w:rPr>
          <w:rFonts w:ascii="Times New Roman" w:hAnsi="Times New Roman"/>
          <w:b/>
          <w:bCs/>
          <w:lang w:eastAsia="pl-PL"/>
        </w:rPr>
        <w:t xml:space="preserve">„Dostawa implantów używanych w chirurgii kręgosłupa </w:t>
      </w:r>
      <w:r w:rsidRPr="00807FF2">
        <w:rPr>
          <w:rFonts w:ascii="Times New Roman" w:hAnsi="Times New Roman"/>
          <w:b/>
          <w:bCs/>
          <w:lang w:eastAsia="pl-PL"/>
        </w:rPr>
        <w:t>na potrzeby COZL</w:t>
      </w:r>
      <w:r>
        <w:rPr>
          <w:rFonts w:ascii="Times New Roman" w:hAnsi="Times New Roman"/>
          <w:b/>
          <w:bCs/>
          <w:lang w:eastAsia="pl-PL"/>
        </w:rPr>
        <w:t>”</w:t>
      </w:r>
    </w:p>
    <w:p w:rsidR="004F25C3" w:rsidRPr="0080468F" w:rsidRDefault="004F25C3" w:rsidP="0080468F">
      <w:pPr>
        <w:spacing w:line="360" w:lineRule="auto"/>
        <w:jc w:val="both"/>
        <w:rPr>
          <w:rFonts w:ascii="Times New Roman" w:hAnsi="Times New Roman"/>
        </w:rPr>
      </w:pPr>
      <w:r w:rsidRPr="00683165">
        <w:tab/>
      </w:r>
      <w:r w:rsidRPr="0080468F">
        <w:rPr>
          <w:rFonts w:ascii="Times New Roman" w:hAnsi="Times New Roman"/>
        </w:rPr>
        <w:t>Działając w oparciu o zapisy art. 38 ust.1 i 2 ustawy z dnia 29 stycznia 2004 r.  (t.j. Dz. U. z 2019 r. poz. 1843 z późn. zm.)  informuję, że w niniejszym postępowaniu wpłynęły następujące zapytania:</w:t>
      </w:r>
    </w:p>
    <w:p w:rsidR="004F25C3" w:rsidRDefault="004F25C3" w:rsidP="003C40F3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color w:val="000000"/>
          <w:lang w:eastAsia="pl-PL"/>
        </w:rPr>
      </w:pPr>
      <w:r w:rsidRPr="0080468F">
        <w:rPr>
          <w:rFonts w:ascii="Times New Roman" w:hAnsi="Times New Roman"/>
          <w:b/>
        </w:rPr>
        <w:t xml:space="preserve">Pytanie nr 1 </w:t>
      </w:r>
      <w:r w:rsidRPr="0080468F">
        <w:rPr>
          <w:rFonts w:ascii="Times New Roman" w:hAnsi="Times New Roman"/>
          <w:color w:val="000000"/>
          <w:lang w:eastAsia="pl-PL"/>
        </w:rPr>
        <w:t xml:space="preserve"> </w:t>
      </w:r>
    </w:p>
    <w:p w:rsidR="004F25C3" w:rsidRDefault="004F25C3" w:rsidP="000F0803">
      <w:pPr>
        <w:pStyle w:val="Standard"/>
        <w:rPr>
          <w:b/>
          <w:bCs/>
          <w:sz w:val="20"/>
          <w:szCs w:val="20"/>
        </w:rPr>
      </w:pPr>
      <w:r w:rsidRPr="003524E5">
        <w:rPr>
          <w:b/>
          <w:szCs w:val="22"/>
        </w:rPr>
        <w:t xml:space="preserve">Pytanie nr </w:t>
      </w:r>
      <w:r>
        <w:rPr>
          <w:b/>
          <w:szCs w:val="22"/>
        </w:rPr>
        <w:t>1</w:t>
      </w:r>
      <w:r w:rsidRPr="003524E5">
        <w:rPr>
          <w:b/>
          <w:szCs w:val="22"/>
        </w:rPr>
        <w:t xml:space="preserve"> dot. </w:t>
      </w:r>
      <w:r>
        <w:rPr>
          <w:b/>
          <w:bCs/>
          <w:sz w:val="20"/>
          <w:szCs w:val="20"/>
        </w:rPr>
        <w:t>Część 2-  SYSTEM DO STABILIZACJI PRZEDNIEJ KRĘGOSŁUPA PŁYTKĄ SZYJNĄ</w:t>
      </w:r>
    </w:p>
    <w:p w:rsidR="004F25C3" w:rsidRDefault="004F25C3" w:rsidP="000F0803">
      <w:pPr>
        <w:pStyle w:val="Standard"/>
        <w:rPr>
          <w:sz w:val="20"/>
          <w:szCs w:val="20"/>
        </w:rPr>
      </w:pPr>
    </w:p>
    <w:p w:rsidR="004F25C3" w:rsidRPr="000009E5" w:rsidRDefault="004F25C3" w:rsidP="000009E5">
      <w:pPr>
        <w:pStyle w:val="BodyText"/>
        <w:spacing w:after="0"/>
        <w:ind w:firstLine="708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Czy zamawiający dopuści możliwość zaoferowania zestawu o niżej wymienionych parametrach?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tytanowy, dynamiczny system do stabilizacji przedniej kręgosłupa szyjnego;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 xml:space="preserve">- płytki o wymiarach 20-103mm 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 xml:space="preserve">- płytki 4 otworowe (20-32mm), 6 otworowe (34-58mm), 8 otworowe (49-64mm), 10 otworowe </w:t>
      </w:r>
      <w:r w:rsidRPr="000009E5">
        <w:rPr>
          <w:rFonts w:ascii="Times New Roman" w:hAnsi="Times New Roman"/>
        </w:rPr>
        <w:br/>
        <w:t>(67-85mm) i 12 otworowe (82-103mm), ze skokiem co max. 3mm;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płytki o niskim profilu (wys. 2,7mm), wstępnie dostosowane kształtem do anatomii kręgosłupa (wygięcie wzdłużne i poprzeczne);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śruby samotnące i samogwintujące: jednokorowe (</w:t>
      </w:r>
      <w:r w:rsidRPr="000009E5">
        <w:rPr>
          <w:rFonts w:ascii="Times New Roman" w:hAnsi="Times New Roman"/>
        </w:rPr>
        <w:sym w:font="Symbol" w:char="F066"/>
      </w:r>
      <w:r w:rsidRPr="000009E5">
        <w:rPr>
          <w:rFonts w:ascii="Times New Roman" w:hAnsi="Times New Roman"/>
        </w:rPr>
        <w:t>4mm, dłg. 10-18mm ze skokiem co 2mm), dwukorowe (</w:t>
      </w:r>
      <w:r w:rsidRPr="000009E5">
        <w:rPr>
          <w:rFonts w:ascii="Times New Roman" w:hAnsi="Times New Roman"/>
        </w:rPr>
        <w:sym w:font="Symbol" w:char="F066"/>
      </w:r>
      <w:r w:rsidRPr="000009E5">
        <w:rPr>
          <w:rFonts w:ascii="Times New Roman" w:hAnsi="Times New Roman"/>
        </w:rPr>
        <w:t>4,0mm, dłg. 10-28mm ze skokiem co 2mm) oraz rewizyjne/osteoporotyczne (</w:t>
      </w:r>
      <w:r w:rsidRPr="000009E5">
        <w:rPr>
          <w:rFonts w:ascii="Times New Roman" w:hAnsi="Times New Roman"/>
        </w:rPr>
        <w:sym w:font="Symbol" w:char="F066"/>
      </w:r>
      <w:r w:rsidRPr="000009E5">
        <w:rPr>
          <w:rFonts w:ascii="Times New Roman" w:hAnsi="Times New Roman"/>
        </w:rPr>
        <w:t>4,5mm, dłg. 13-17mm ze skokiem co 2mm);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ruchomość śruby 35</w:t>
      </w:r>
      <w:r w:rsidRPr="000009E5">
        <w:rPr>
          <w:rFonts w:ascii="Times New Roman" w:hAnsi="Times New Roman"/>
          <w:vertAlign w:val="superscript"/>
        </w:rPr>
        <w:t>0</w:t>
      </w:r>
      <w:r w:rsidRPr="000009E5">
        <w:rPr>
          <w:rFonts w:ascii="Times New Roman" w:hAnsi="Times New Roman"/>
        </w:rPr>
        <w:t xml:space="preserve"> wzdłuż i 8</w:t>
      </w:r>
      <w:r w:rsidRPr="000009E5">
        <w:rPr>
          <w:rFonts w:ascii="Times New Roman" w:hAnsi="Times New Roman"/>
        </w:rPr>
        <w:softHyphen/>
      </w:r>
      <w:r w:rsidRPr="000009E5">
        <w:rPr>
          <w:rFonts w:ascii="Times New Roman" w:hAnsi="Times New Roman"/>
        </w:rPr>
        <w:softHyphen/>
      </w:r>
      <w:r w:rsidRPr="000009E5">
        <w:rPr>
          <w:rFonts w:ascii="Times New Roman" w:hAnsi="Times New Roman"/>
          <w:vertAlign w:val="superscript"/>
        </w:rPr>
        <w:t>0</w:t>
      </w:r>
      <w:r w:rsidRPr="000009E5">
        <w:rPr>
          <w:rFonts w:ascii="Times New Roman" w:hAnsi="Times New Roman"/>
        </w:rPr>
        <w:t xml:space="preserve"> w poprzek osi płytki;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śruby blokowane wewnętrznie (blokada zapobiega wykręcaniu się śruby, pozostawiając możliwość mikroruchów w obrębie stabilizowanych kręgów);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każda śruba blokowana jest niezależnie - brak dodatkowych elementów blokujących na powierzchni płytki;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rodzaje śrub kodowane kolorami z atraumatycznym zakończeniem śruby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trzon śruby jednokorowej i rewizyjnej - stożkowy;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możliwość dogięcia płytki bez utraty możliwości zablokowania/odblokowania śruby;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możliwość śródoperacyjnej, czasowej stabilizacji płytki przy pomocy specjalnych szpilek;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 xml:space="preserve">- system umożliwia w pełni dynamiczną stabilizację 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porowata powierzchnia dołu płytki zapobiegająca przesuwaniu się płytki na kręgach;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porowata powierzchnia trzonu śruby zwiększa kontakt i bezpieczeństwo połączenia kość-śruba;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zachowany niski profil głowy śrub;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trwałe oznaczenie każdego implantu numerem serii oraz kodem;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>- w zestawie giętarka, brak przymiaru implantu.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 xml:space="preserve">- możliwość wydłużenia stabilizacji bez konieczności wykręcania płytki – poprzez dołączenie </w:t>
      </w:r>
      <w:r w:rsidRPr="000009E5">
        <w:rPr>
          <w:rFonts w:ascii="Times New Roman" w:hAnsi="Times New Roman"/>
        </w:rPr>
        <w:br/>
        <w:t>do płytki bazowej specjalnych elementów wydłużających połączenie</w:t>
      </w:r>
      <w:r>
        <w:rPr>
          <w:rFonts w:ascii="Times New Roman" w:hAnsi="Times New Roman"/>
        </w:rPr>
        <w:t>.</w:t>
      </w:r>
    </w:p>
    <w:p w:rsidR="004F25C3" w:rsidRDefault="004F25C3" w:rsidP="000009E5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Odpowiedź: Zamawiający podtrzymuje zapisy SIWZ</w:t>
      </w:r>
    </w:p>
    <w:p w:rsidR="004F25C3" w:rsidRDefault="004F25C3" w:rsidP="000009E5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F25C3" w:rsidRPr="000009E5" w:rsidRDefault="004F25C3" w:rsidP="000009E5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color w:val="000000"/>
          <w:lang w:eastAsia="pl-PL"/>
        </w:rPr>
      </w:pPr>
      <w:r w:rsidRPr="000009E5">
        <w:rPr>
          <w:rFonts w:ascii="Times New Roman" w:hAnsi="Times New Roman"/>
          <w:b/>
        </w:rPr>
        <w:t xml:space="preserve">Pytanie nr </w:t>
      </w:r>
      <w:r>
        <w:rPr>
          <w:rFonts w:ascii="Times New Roman" w:hAnsi="Times New Roman"/>
          <w:b/>
        </w:rPr>
        <w:t>2</w:t>
      </w:r>
      <w:r w:rsidRPr="000009E5">
        <w:rPr>
          <w:rFonts w:ascii="Times New Roman" w:hAnsi="Times New Roman"/>
          <w:color w:val="000000"/>
          <w:lang w:eastAsia="pl-PL"/>
        </w:rPr>
        <w:t xml:space="preserve"> 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  <w:b/>
        </w:rPr>
      </w:pPr>
      <w:r w:rsidRPr="000009E5">
        <w:rPr>
          <w:rFonts w:ascii="Times New Roman" w:hAnsi="Times New Roman"/>
          <w:b/>
        </w:rPr>
        <w:t xml:space="preserve">Pytanie nr 2 dot. </w:t>
      </w:r>
      <w:r w:rsidRPr="000009E5">
        <w:rPr>
          <w:rFonts w:ascii="Times New Roman" w:hAnsi="Times New Roman"/>
          <w:b/>
          <w:bCs/>
        </w:rPr>
        <w:t>Część 3 - System stabilizacji szyjnej kręgosłupa z dostępu tylnego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</w:p>
    <w:p w:rsidR="004F25C3" w:rsidRPr="000009E5" w:rsidRDefault="004F25C3" w:rsidP="000009E5">
      <w:pPr>
        <w:pStyle w:val="BodyText"/>
        <w:spacing w:after="0"/>
        <w:ind w:firstLine="708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Czy zamawiający dopuści możliwość zaoferowania alternatywnego zestawu o niżej wymienionych parametrach?</w:t>
      </w:r>
    </w:p>
    <w:p w:rsidR="004F25C3" w:rsidRPr="000009E5" w:rsidRDefault="004F25C3" w:rsidP="000009E5">
      <w:pPr>
        <w:pStyle w:val="BodyText"/>
        <w:spacing w:after="0"/>
        <w:ind w:firstLine="708"/>
        <w:jc w:val="both"/>
        <w:rPr>
          <w:sz w:val="22"/>
          <w:szCs w:val="22"/>
        </w:rPr>
      </w:pP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 xml:space="preserve">- tytanowy system do jedno- i wielosegmentowej tylnej stabilizacji odcinka szyjnego oraz stabilizacji </w:t>
      </w:r>
      <w:r w:rsidRPr="000009E5">
        <w:rPr>
          <w:sz w:val="22"/>
          <w:szCs w:val="22"/>
        </w:rPr>
        <w:br/>
        <w:t>potyliczno-szyjnej kręgosłupa, opartej na możliwości zastosowania haków, śrub wieloosiowych oraz płytek potylicznych;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płyty potyliczne cztero- i pięciootworowe, małe i duże;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wkręty do płyt potylicznych (ø4,5 oraz ø 5,5mm, dł. 6-16mm, ze skokiem co 1mm);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pręty proste ø3,5mm, dł. 30-150mm (atraumatyczne, ze skokiem co 30mm);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pręty wygięte ø3,5mm, dł. 240mm, atraumatyczne;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pręty łączące z systemem piersiowo-lędźwiowym o podwójnej średnicy ø3,5-5,5mm;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śruby wieloosiowe ø3,5 oraz 4,0mm, dł. 10-30mm, ze skokiem co 2mm;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 xml:space="preserve">- śruby wieloosiowe ø4,0mm, dł. 10-56mm, ze skokiem co 2mm, o zwiększonym kącie odgięcia </w:t>
      </w:r>
      <w:r w:rsidRPr="000009E5">
        <w:rPr>
          <w:sz w:val="22"/>
          <w:szCs w:val="22"/>
        </w:rPr>
        <w:br/>
        <w:t>45 stopni;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 xml:space="preserve">- śruby wieloosiowe do stabilizacji C1-C2 - ø4,0mm z gładkim trzonem o dł. 8-16mm oraz dł. gwintu 16-26mm (ze skokiem co 2mm); 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atraumatyczne zakończenie śrub;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haki laminarne duże i małe, lewe i prawe;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jeden wewnętrzny element blokujący do śrub, haków, łączników oraz płytek potylicznych;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 xml:space="preserve">- poprzeczki sztywne o dł. 22-24-26mm oraz o zmiennym kształcie (28-33mm, 33-42mm i 42-58mm) </w:t>
      </w:r>
      <w:r w:rsidRPr="000009E5">
        <w:rPr>
          <w:sz w:val="22"/>
          <w:szCs w:val="22"/>
        </w:rPr>
        <w:br/>
        <w:t xml:space="preserve">z możliwością ułożenia poprzeczek wielokątowo w stosunku pręta i osi zespolenia; 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łączniki boczne proste lub L-odgięte praw i lewe (7, 9 i 11mm);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- łączniki prętów równoległe (ø3,5-3,5mm oraz ø3,5-5,5mm);</w:t>
      </w:r>
    </w:p>
    <w:p w:rsidR="004F25C3" w:rsidRDefault="004F25C3" w:rsidP="000009E5">
      <w:pPr>
        <w:pStyle w:val="BodyText"/>
        <w:tabs>
          <w:tab w:val="left" w:pos="5580"/>
        </w:tabs>
        <w:spacing w:after="0"/>
        <w:jc w:val="both"/>
        <w:rPr>
          <w:b/>
          <w:sz w:val="22"/>
          <w:szCs w:val="22"/>
        </w:rPr>
      </w:pPr>
      <w:r w:rsidRPr="000009E5">
        <w:rPr>
          <w:b/>
          <w:sz w:val="22"/>
          <w:szCs w:val="22"/>
        </w:rPr>
        <w:t>Odpowiedź:</w:t>
      </w:r>
      <w:r>
        <w:rPr>
          <w:b/>
          <w:sz w:val="22"/>
          <w:szCs w:val="22"/>
        </w:rPr>
        <w:t xml:space="preserve"> Zamawiający podtrzymuje zapisy SIWZ.</w:t>
      </w:r>
    </w:p>
    <w:p w:rsidR="004F25C3" w:rsidRPr="000009E5" w:rsidRDefault="004F25C3" w:rsidP="000009E5">
      <w:pPr>
        <w:pStyle w:val="BodyText"/>
        <w:tabs>
          <w:tab w:val="left" w:pos="5580"/>
        </w:tabs>
        <w:spacing w:after="0"/>
        <w:jc w:val="both"/>
        <w:rPr>
          <w:b/>
          <w:sz w:val="22"/>
          <w:szCs w:val="22"/>
        </w:rPr>
      </w:pPr>
      <w:r w:rsidRPr="000009E5">
        <w:rPr>
          <w:b/>
          <w:sz w:val="22"/>
          <w:szCs w:val="22"/>
        </w:rPr>
        <w:tab/>
      </w:r>
    </w:p>
    <w:p w:rsidR="004F25C3" w:rsidRPr="000009E5" w:rsidRDefault="004F25C3" w:rsidP="000009E5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0009E5">
        <w:rPr>
          <w:rFonts w:ascii="Times New Roman" w:hAnsi="Times New Roman"/>
          <w:b/>
        </w:rPr>
        <w:t xml:space="preserve">Pytanie nr 3 </w:t>
      </w:r>
      <w:r w:rsidRPr="000009E5">
        <w:rPr>
          <w:rFonts w:ascii="Times New Roman" w:hAnsi="Times New Roman"/>
          <w:b/>
          <w:color w:val="000000"/>
          <w:lang w:eastAsia="pl-PL"/>
        </w:rPr>
        <w:t xml:space="preserve"> </w:t>
      </w:r>
    </w:p>
    <w:p w:rsidR="004F25C3" w:rsidRPr="000009E5" w:rsidRDefault="004F25C3" w:rsidP="000009E5">
      <w:pPr>
        <w:pStyle w:val="Standard"/>
        <w:rPr>
          <w:b/>
          <w:bCs/>
          <w:sz w:val="22"/>
          <w:szCs w:val="22"/>
        </w:rPr>
      </w:pPr>
      <w:r w:rsidRPr="000009E5">
        <w:rPr>
          <w:b/>
          <w:bCs/>
          <w:sz w:val="22"/>
          <w:szCs w:val="22"/>
        </w:rPr>
        <w:t>Pytanie nr 3 dot. Część 7-   ROZSZERZALNA PROTEZA TRZONU ODCINKA SZYJNEGO KRĘGOSŁUPA</w:t>
      </w:r>
    </w:p>
    <w:p w:rsidR="004F25C3" w:rsidRPr="000009E5" w:rsidRDefault="004F25C3" w:rsidP="000009E5">
      <w:pPr>
        <w:pStyle w:val="Standard"/>
        <w:rPr>
          <w:b/>
          <w:bCs/>
          <w:sz w:val="22"/>
          <w:szCs w:val="22"/>
        </w:rPr>
      </w:pPr>
    </w:p>
    <w:p w:rsidR="004F25C3" w:rsidRPr="000009E5" w:rsidRDefault="004F25C3" w:rsidP="000009E5">
      <w:pPr>
        <w:pStyle w:val="Standard"/>
        <w:jc w:val="both"/>
        <w:rPr>
          <w:sz w:val="22"/>
          <w:szCs w:val="22"/>
        </w:rPr>
      </w:pPr>
      <w:r w:rsidRPr="000009E5">
        <w:rPr>
          <w:sz w:val="22"/>
          <w:szCs w:val="22"/>
        </w:rPr>
        <w:t>Czy zamawiający dopuści możliwość zaoferowania alternatywnego zestawu o niżej wymienionych parametrach?</w:t>
      </w:r>
    </w:p>
    <w:p w:rsidR="004F25C3" w:rsidRPr="000009E5" w:rsidRDefault="004F25C3" w:rsidP="000009E5">
      <w:pPr>
        <w:pStyle w:val="BodyText"/>
        <w:spacing w:after="0"/>
        <w:jc w:val="both"/>
        <w:rPr>
          <w:sz w:val="22"/>
          <w:szCs w:val="22"/>
        </w:rPr>
      </w:pP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  <w:r w:rsidRPr="000009E5">
        <w:rPr>
          <w:rFonts w:ascii="Times New Roman" w:hAnsi="Times New Roman"/>
        </w:rPr>
        <w:t xml:space="preserve">Proteza tytanowa z centralnym mechanizmem rozszerzającym implant in-situ. Implant dostępny </w:t>
      </w:r>
      <w:r w:rsidRPr="000009E5">
        <w:rPr>
          <w:rFonts w:ascii="Times New Roman" w:hAnsi="Times New Roman"/>
        </w:rPr>
        <w:br/>
        <w:t xml:space="preserve">w dziewiętnastu rozmiarach. Zakres rozszerzenia implantów od 19mm do 74mm. Możliwość wymiany płytek końcowych implantu .Płytki końcowe z kolcami o szerokości 12x </w:t>
      </w:r>
      <w:smartTag w:uri="urn:schemas-microsoft-com:office:smarttags" w:element="metricconverter">
        <w:smartTagPr>
          <w:attr w:name="ProductID" w:val="14 mm"/>
        </w:smartTagPr>
        <w:r w:rsidRPr="000009E5">
          <w:rPr>
            <w:rFonts w:ascii="Times New Roman" w:hAnsi="Times New Roman"/>
          </w:rPr>
          <w:t>14 mm</w:t>
        </w:r>
      </w:smartTag>
      <w:r w:rsidRPr="000009E5">
        <w:rPr>
          <w:rFonts w:ascii="Times New Roman" w:hAnsi="Times New Roman"/>
        </w:rPr>
        <w:t xml:space="preserve"> lub 14x16 mm. Płytki końcowe o pochyleniu 0 stopni lub 5 stopni. Możliwość wypełnienia implantu kością lub substytutem. Jedno narzędzie, które wprowadza , blokuje i rozszerza implant. W zestawie instrumentarium z przymiarami z możliwością konfigurowania razem z przymiarami płytek końcowych. Implanty trwale oznaczone, sterylne.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  <w:b/>
        </w:rPr>
      </w:pPr>
      <w:r w:rsidRPr="000009E5">
        <w:rPr>
          <w:rFonts w:ascii="Times New Roman" w:hAnsi="Times New Roman"/>
          <w:b/>
        </w:rPr>
        <w:t>Odpowiedź:</w:t>
      </w:r>
      <w:r>
        <w:rPr>
          <w:rFonts w:ascii="Times New Roman" w:hAnsi="Times New Roman"/>
          <w:b/>
        </w:rPr>
        <w:t xml:space="preserve"> Zamawiający podtrzymuje zapisy SIWZ.</w:t>
      </w: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</w:p>
    <w:p w:rsidR="004F25C3" w:rsidRPr="000009E5" w:rsidRDefault="004F25C3" w:rsidP="000009E5">
      <w:pPr>
        <w:spacing w:after="0" w:line="240" w:lineRule="auto"/>
        <w:jc w:val="both"/>
        <w:rPr>
          <w:rFonts w:ascii="Times New Roman" w:hAnsi="Times New Roman"/>
        </w:rPr>
      </w:pPr>
    </w:p>
    <w:p w:rsidR="004F25C3" w:rsidRPr="000009E5" w:rsidRDefault="004F25C3" w:rsidP="000009E5">
      <w:pPr>
        <w:spacing w:after="0" w:line="240" w:lineRule="auto"/>
        <w:ind w:right="-2"/>
        <w:jc w:val="right"/>
        <w:rPr>
          <w:rFonts w:ascii="Times New Roman" w:hAnsi="Times New Roman"/>
        </w:rPr>
      </w:pPr>
    </w:p>
    <w:p w:rsidR="004F25C3" w:rsidRPr="000009E5" w:rsidRDefault="004F25C3" w:rsidP="000009E5">
      <w:pPr>
        <w:spacing w:after="0" w:line="240" w:lineRule="auto"/>
        <w:rPr>
          <w:rFonts w:ascii="Times New Roman" w:hAnsi="Times New Roman"/>
          <w:color w:val="000000"/>
        </w:rPr>
      </w:pPr>
    </w:p>
    <w:p w:rsidR="004F25C3" w:rsidRPr="000009E5" w:rsidRDefault="004F25C3" w:rsidP="000009E5">
      <w:pPr>
        <w:spacing w:after="0" w:line="240" w:lineRule="auto"/>
        <w:rPr>
          <w:rFonts w:ascii="Times New Roman" w:hAnsi="Times New Roman"/>
          <w:color w:val="000000"/>
        </w:rPr>
      </w:pPr>
    </w:p>
    <w:p w:rsidR="004F25C3" w:rsidRPr="000009E5" w:rsidRDefault="004F25C3" w:rsidP="000009E5">
      <w:pPr>
        <w:spacing w:after="0" w:line="240" w:lineRule="auto"/>
        <w:rPr>
          <w:rFonts w:ascii="Times New Roman" w:hAnsi="Times New Roman"/>
        </w:rPr>
      </w:pPr>
    </w:p>
    <w:sectPr w:rsidR="004F25C3" w:rsidRPr="000009E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5C3" w:rsidRDefault="004F25C3" w:rsidP="00BA7046">
      <w:pPr>
        <w:spacing w:after="0" w:line="240" w:lineRule="auto"/>
      </w:pPr>
      <w:r>
        <w:separator/>
      </w:r>
    </w:p>
  </w:endnote>
  <w:endnote w:type="continuationSeparator" w:id="0">
    <w:p w:rsidR="004F25C3" w:rsidRDefault="004F25C3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5C3" w:rsidRDefault="004F25C3" w:rsidP="00627BE7">
    <w:pPr>
      <w:pStyle w:val="Footer"/>
      <w:tabs>
        <w:tab w:val="clear" w:pos="9072"/>
      </w:tabs>
      <w:ind w:left="-1418" w:right="-141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5C3" w:rsidRDefault="004F25C3" w:rsidP="00564165">
    <w:pPr>
      <w:pStyle w:val="Footer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8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5C3" w:rsidRDefault="004F25C3" w:rsidP="00BA7046">
      <w:pPr>
        <w:spacing w:after="0" w:line="240" w:lineRule="auto"/>
      </w:pPr>
      <w:r>
        <w:separator/>
      </w:r>
    </w:p>
  </w:footnote>
  <w:footnote w:type="continuationSeparator" w:id="0">
    <w:p w:rsidR="004F25C3" w:rsidRDefault="004F25C3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5C3" w:rsidRDefault="004F25C3" w:rsidP="0024296C">
    <w:pPr>
      <w:pStyle w:val="Header"/>
      <w:ind w:left="-141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5C3" w:rsidRDefault="004F25C3" w:rsidP="007D3D1F">
    <w:pPr>
      <w:pStyle w:val="Header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6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046"/>
    <w:rsid w:val="000009E5"/>
    <w:rsid w:val="000423DE"/>
    <w:rsid w:val="0006588F"/>
    <w:rsid w:val="000672F8"/>
    <w:rsid w:val="00076E09"/>
    <w:rsid w:val="00080984"/>
    <w:rsid w:val="000A44BB"/>
    <w:rsid w:val="000C532E"/>
    <w:rsid w:val="000C7918"/>
    <w:rsid w:val="000E529C"/>
    <w:rsid w:val="000F0803"/>
    <w:rsid w:val="000F23B4"/>
    <w:rsid w:val="00100CE3"/>
    <w:rsid w:val="001013A4"/>
    <w:rsid w:val="00102014"/>
    <w:rsid w:val="001131D6"/>
    <w:rsid w:val="0012189A"/>
    <w:rsid w:val="00132108"/>
    <w:rsid w:val="0014668E"/>
    <w:rsid w:val="0015095E"/>
    <w:rsid w:val="00152B2D"/>
    <w:rsid w:val="00167DF0"/>
    <w:rsid w:val="001A1FB2"/>
    <w:rsid w:val="001C64DF"/>
    <w:rsid w:val="00227158"/>
    <w:rsid w:val="0024296C"/>
    <w:rsid w:val="00251A9C"/>
    <w:rsid w:val="00253BAC"/>
    <w:rsid w:val="00255530"/>
    <w:rsid w:val="0026234C"/>
    <w:rsid w:val="00265DCD"/>
    <w:rsid w:val="00291EB7"/>
    <w:rsid w:val="002950AA"/>
    <w:rsid w:val="002C13ED"/>
    <w:rsid w:val="002C5AD1"/>
    <w:rsid w:val="002E27D9"/>
    <w:rsid w:val="002E71D7"/>
    <w:rsid w:val="002F1098"/>
    <w:rsid w:val="002F385E"/>
    <w:rsid w:val="00302686"/>
    <w:rsid w:val="00306C51"/>
    <w:rsid w:val="00323EB9"/>
    <w:rsid w:val="00326A4D"/>
    <w:rsid w:val="0034159E"/>
    <w:rsid w:val="003524E5"/>
    <w:rsid w:val="0037327B"/>
    <w:rsid w:val="00381A9D"/>
    <w:rsid w:val="003875E4"/>
    <w:rsid w:val="003A5F8B"/>
    <w:rsid w:val="003B0D14"/>
    <w:rsid w:val="003C40F3"/>
    <w:rsid w:val="003F2FA3"/>
    <w:rsid w:val="003F3403"/>
    <w:rsid w:val="003F3842"/>
    <w:rsid w:val="00426F96"/>
    <w:rsid w:val="00432CB1"/>
    <w:rsid w:val="00445E72"/>
    <w:rsid w:val="004472B6"/>
    <w:rsid w:val="00461AE5"/>
    <w:rsid w:val="00473AC0"/>
    <w:rsid w:val="004B1D0E"/>
    <w:rsid w:val="004C4F4E"/>
    <w:rsid w:val="004C6488"/>
    <w:rsid w:val="004E3825"/>
    <w:rsid w:val="004E4149"/>
    <w:rsid w:val="004E780E"/>
    <w:rsid w:val="004F25C3"/>
    <w:rsid w:val="004F7ACA"/>
    <w:rsid w:val="005242FE"/>
    <w:rsid w:val="00532B79"/>
    <w:rsid w:val="005339A8"/>
    <w:rsid w:val="00540CFD"/>
    <w:rsid w:val="00551260"/>
    <w:rsid w:val="00553FE0"/>
    <w:rsid w:val="0056041E"/>
    <w:rsid w:val="00564165"/>
    <w:rsid w:val="005759B1"/>
    <w:rsid w:val="00576B68"/>
    <w:rsid w:val="00580779"/>
    <w:rsid w:val="00584CFC"/>
    <w:rsid w:val="00586EE0"/>
    <w:rsid w:val="00591894"/>
    <w:rsid w:val="005A0681"/>
    <w:rsid w:val="005B784A"/>
    <w:rsid w:val="005D45F6"/>
    <w:rsid w:val="005D7599"/>
    <w:rsid w:val="005F457A"/>
    <w:rsid w:val="00627B88"/>
    <w:rsid w:val="00627BE7"/>
    <w:rsid w:val="00630473"/>
    <w:rsid w:val="006450F5"/>
    <w:rsid w:val="00652A21"/>
    <w:rsid w:val="00652AAB"/>
    <w:rsid w:val="006616D9"/>
    <w:rsid w:val="00661ED0"/>
    <w:rsid w:val="006652E2"/>
    <w:rsid w:val="00683165"/>
    <w:rsid w:val="0068568C"/>
    <w:rsid w:val="0069244B"/>
    <w:rsid w:val="006A1017"/>
    <w:rsid w:val="006A56A6"/>
    <w:rsid w:val="006A6C1B"/>
    <w:rsid w:val="006B7CF6"/>
    <w:rsid w:val="006B7EFD"/>
    <w:rsid w:val="006C1012"/>
    <w:rsid w:val="006C358D"/>
    <w:rsid w:val="006E1C4B"/>
    <w:rsid w:val="006E48D7"/>
    <w:rsid w:val="006F0DEB"/>
    <w:rsid w:val="006F6D37"/>
    <w:rsid w:val="00724CDB"/>
    <w:rsid w:val="00730815"/>
    <w:rsid w:val="00736575"/>
    <w:rsid w:val="00750D4A"/>
    <w:rsid w:val="007562B4"/>
    <w:rsid w:val="007601E7"/>
    <w:rsid w:val="00786F3E"/>
    <w:rsid w:val="00787114"/>
    <w:rsid w:val="0079094B"/>
    <w:rsid w:val="00790B0F"/>
    <w:rsid w:val="007914B6"/>
    <w:rsid w:val="007D3D1F"/>
    <w:rsid w:val="007D6D34"/>
    <w:rsid w:val="007E5B9C"/>
    <w:rsid w:val="007E6D90"/>
    <w:rsid w:val="007F4A25"/>
    <w:rsid w:val="0080468F"/>
    <w:rsid w:val="00807FF2"/>
    <w:rsid w:val="0083640A"/>
    <w:rsid w:val="0084070B"/>
    <w:rsid w:val="00843ADE"/>
    <w:rsid w:val="00852BE2"/>
    <w:rsid w:val="00862FD2"/>
    <w:rsid w:val="0087705C"/>
    <w:rsid w:val="008771A9"/>
    <w:rsid w:val="00882044"/>
    <w:rsid w:val="00895E9B"/>
    <w:rsid w:val="008A074F"/>
    <w:rsid w:val="008A37F7"/>
    <w:rsid w:val="008B0C15"/>
    <w:rsid w:val="008D1BF3"/>
    <w:rsid w:val="008D5DA0"/>
    <w:rsid w:val="008E1266"/>
    <w:rsid w:val="008E3A72"/>
    <w:rsid w:val="009140DB"/>
    <w:rsid w:val="009146BB"/>
    <w:rsid w:val="00922F9E"/>
    <w:rsid w:val="00933E8F"/>
    <w:rsid w:val="00935730"/>
    <w:rsid w:val="0094352F"/>
    <w:rsid w:val="00960FDE"/>
    <w:rsid w:val="00973374"/>
    <w:rsid w:val="009B104D"/>
    <w:rsid w:val="009C0D58"/>
    <w:rsid w:val="009E0F19"/>
    <w:rsid w:val="009F7FC4"/>
    <w:rsid w:val="00A12858"/>
    <w:rsid w:val="00A2194B"/>
    <w:rsid w:val="00A818BD"/>
    <w:rsid w:val="00A8720E"/>
    <w:rsid w:val="00A91FEF"/>
    <w:rsid w:val="00A938D8"/>
    <w:rsid w:val="00AC407D"/>
    <w:rsid w:val="00AC737F"/>
    <w:rsid w:val="00AE7425"/>
    <w:rsid w:val="00B01204"/>
    <w:rsid w:val="00B35612"/>
    <w:rsid w:val="00B3659F"/>
    <w:rsid w:val="00B4641C"/>
    <w:rsid w:val="00B71254"/>
    <w:rsid w:val="00B7618B"/>
    <w:rsid w:val="00B83EB0"/>
    <w:rsid w:val="00B83EB8"/>
    <w:rsid w:val="00BA3044"/>
    <w:rsid w:val="00BA5B3F"/>
    <w:rsid w:val="00BA7046"/>
    <w:rsid w:val="00BB0C1D"/>
    <w:rsid w:val="00BB2917"/>
    <w:rsid w:val="00BC24B5"/>
    <w:rsid w:val="00BC2A18"/>
    <w:rsid w:val="00BC7857"/>
    <w:rsid w:val="00BD604C"/>
    <w:rsid w:val="00BF2CC4"/>
    <w:rsid w:val="00C114AD"/>
    <w:rsid w:val="00C11C02"/>
    <w:rsid w:val="00C14654"/>
    <w:rsid w:val="00C42DCC"/>
    <w:rsid w:val="00C754AE"/>
    <w:rsid w:val="00CA566E"/>
    <w:rsid w:val="00CC7604"/>
    <w:rsid w:val="00CD54D9"/>
    <w:rsid w:val="00CD713B"/>
    <w:rsid w:val="00CE386C"/>
    <w:rsid w:val="00CF6196"/>
    <w:rsid w:val="00D1599D"/>
    <w:rsid w:val="00D246A9"/>
    <w:rsid w:val="00D271B7"/>
    <w:rsid w:val="00D52D87"/>
    <w:rsid w:val="00D552C9"/>
    <w:rsid w:val="00D64BE1"/>
    <w:rsid w:val="00D73268"/>
    <w:rsid w:val="00DE2BE5"/>
    <w:rsid w:val="00DE3C94"/>
    <w:rsid w:val="00DF7DEE"/>
    <w:rsid w:val="00E06127"/>
    <w:rsid w:val="00E11FC1"/>
    <w:rsid w:val="00E37C5B"/>
    <w:rsid w:val="00E51E28"/>
    <w:rsid w:val="00E61195"/>
    <w:rsid w:val="00E85CF5"/>
    <w:rsid w:val="00E90B33"/>
    <w:rsid w:val="00E929ED"/>
    <w:rsid w:val="00E94670"/>
    <w:rsid w:val="00E949A6"/>
    <w:rsid w:val="00EC1D0C"/>
    <w:rsid w:val="00EF4E45"/>
    <w:rsid w:val="00EF5CC9"/>
    <w:rsid w:val="00F0345A"/>
    <w:rsid w:val="00F13E20"/>
    <w:rsid w:val="00F344B8"/>
    <w:rsid w:val="00F401D5"/>
    <w:rsid w:val="00F51A4E"/>
    <w:rsid w:val="00F65749"/>
    <w:rsid w:val="00F75609"/>
    <w:rsid w:val="00F86FA2"/>
    <w:rsid w:val="00F870F3"/>
    <w:rsid w:val="00F969B9"/>
    <w:rsid w:val="00FB2855"/>
    <w:rsid w:val="00FB5468"/>
    <w:rsid w:val="00FC02C3"/>
    <w:rsid w:val="00FC33D9"/>
    <w:rsid w:val="00FE392B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14"/>
    <w:pPr>
      <w:spacing w:after="200" w:line="276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70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046"/>
    <w:rPr>
      <w:rFonts w:cs="Times New Roman"/>
    </w:rPr>
  </w:style>
  <w:style w:type="table" w:styleId="TableGrid">
    <w:name w:val="Table Grid"/>
    <w:basedOn w:val="TableNormal"/>
    <w:uiPriority w:val="99"/>
    <w:rsid w:val="00724C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">
    <w:name w:val="Akapit z listą"/>
    <w:basedOn w:val="Normal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BodyText">
    <w:name w:val="Body Text"/>
    <w:basedOn w:val="Normal"/>
    <w:link w:val="BodyTextChar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yperlink">
    <w:name w:val="Hyperlink"/>
    <w:basedOn w:val="DefaultParagraphFont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basedOn w:val="DefaultParagraphFont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szCs w:val="20"/>
      <w:lang w:val="de-DE" w:eastAsia="zh-CN"/>
    </w:rPr>
  </w:style>
  <w:style w:type="paragraph" w:customStyle="1" w:styleId="Tekstpodstawowy31">
    <w:name w:val="Tekst podstawowy 31"/>
    <w:basedOn w:val="Normal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BodyText2">
    <w:name w:val="Body Text 2"/>
    <w:basedOn w:val="Normal"/>
    <w:link w:val="BodyText2Char"/>
    <w:uiPriority w:val="99"/>
    <w:rsid w:val="00F034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">
    <w:name w:val="Bez odstępów"/>
    <w:uiPriority w:val="99"/>
    <w:rsid w:val="00F0345A"/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02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212</TotalTime>
  <Pages>2</Pages>
  <Words>692</Words>
  <Characters>4153</Characters>
  <Application>Microsoft Office Outlook</Application>
  <DocSecurity>0</DocSecurity>
  <Lines>0</Lines>
  <Paragraphs>0</Paragraphs>
  <ScaleCrop>false</ScaleCrop>
  <Company>COZL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astudzinska</cp:lastModifiedBy>
  <cp:revision>29</cp:revision>
  <cp:lastPrinted>2021-01-04T10:59:00Z</cp:lastPrinted>
  <dcterms:created xsi:type="dcterms:W3CDTF">2019-09-10T12:40:00Z</dcterms:created>
  <dcterms:modified xsi:type="dcterms:W3CDTF">2021-01-11T13:07:00Z</dcterms:modified>
</cp:coreProperties>
</file>