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6F" w:rsidRPr="00391A74" w:rsidRDefault="006A0C6F" w:rsidP="006A0C6F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391A74">
        <w:rPr>
          <w:rFonts w:cstheme="minorHAnsi"/>
          <w:b/>
          <w:sz w:val="28"/>
          <w:szCs w:val="28"/>
        </w:rPr>
        <w:t xml:space="preserve">Szacowanie wartości w zakresie usługi </w:t>
      </w:r>
      <w:r>
        <w:rPr>
          <w:rFonts w:cstheme="minorHAnsi"/>
          <w:b/>
          <w:sz w:val="28"/>
          <w:szCs w:val="28"/>
        </w:rPr>
        <w:t>prowadzenia Archiwum Zakładowego</w:t>
      </w:r>
      <w:r w:rsidRPr="00391A74">
        <w:rPr>
          <w:rFonts w:cstheme="minorHAnsi"/>
          <w:b/>
          <w:sz w:val="28"/>
          <w:szCs w:val="28"/>
        </w:rPr>
        <w:t xml:space="preserve"> </w:t>
      </w:r>
    </w:p>
    <w:p w:rsidR="006A0C6F" w:rsidRPr="00391A74" w:rsidRDefault="006A0C6F" w:rsidP="006A0C6F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Muzeum Zamkowego w Malborku w 2025 roku przez firmę zewnętrzną</w:t>
      </w:r>
    </w:p>
    <w:p w:rsidR="006A0C6F" w:rsidRPr="00434F87" w:rsidRDefault="006A0C6F" w:rsidP="006A0C6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Przedmiot umowy i wymagania dotyczące wykonawcy</w:t>
      </w:r>
    </w:p>
    <w:p w:rsidR="006A0C6F" w:rsidRDefault="006A0C6F" w:rsidP="006A0C6F">
      <w:pPr>
        <w:pStyle w:val="NormalnyWeb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0A22DD">
        <w:rPr>
          <w:rFonts w:asciiTheme="minorHAnsi" w:hAnsiTheme="minorHAnsi" w:cstheme="minorHAnsi"/>
        </w:rPr>
        <w:t>rzedmiot umowy – prowadzenie Archiwum Zakładowego MZM w roku 2025</w:t>
      </w:r>
      <w:r>
        <w:rPr>
          <w:rFonts w:asciiTheme="minorHAnsi" w:hAnsiTheme="minorHAnsi" w:cstheme="minorHAnsi"/>
        </w:rPr>
        <w:t xml:space="preserve"> przez firmę zewnętrzną</w:t>
      </w:r>
    </w:p>
    <w:p w:rsidR="006A0C6F" w:rsidRDefault="006A0C6F" w:rsidP="006A0C6F">
      <w:pPr>
        <w:pStyle w:val="NormalnyWeb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0C6F">
        <w:rPr>
          <w:rFonts w:asciiTheme="minorHAnsi" w:hAnsiTheme="minorHAnsi" w:cstheme="minorHAnsi"/>
        </w:rPr>
        <w:t>wymiar czasowy - 80 godzin miesięcznie – ½ etatu</w:t>
      </w:r>
    </w:p>
    <w:p w:rsidR="006A0C6F" w:rsidRDefault="006A0C6F" w:rsidP="006A0C6F">
      <w:pPr>
        <w:pStyle w:val="NormalnyWeb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0C6F">
        <w:rPr>
          <w:rFonts w:asciiTheme="minorHAnsi" w:hAnsiTheme="minorHAnsi" w:cstheme="minorHAnsi"/>
        </w:rPr>
        <w:t xml:space="preserve">posiadane uprawnienia i wykształcenie – studia archiwistyczne lub kurs kancelaryjno-archiwalny 1. lub 2. </w:t>
      </w:r>
      <w:r>
        <w:rPr>
          <w:rFonts w:asciiTheme="minorHAnsi" w:hAnsiTheme="minorHAnsi" w:cstheme="minorHAnsi"/>
        </w:rPr>
        <w:t>s</w:t>
      </w:r>
      <w:r w:rsidRPr="006A0C6F">
        <w:rPr>
          <w:rFonts w:asciiTheme="minorHAnsi" w:hAnsiTheme="minorHAnsi" w:cstheme="minorHAnsi"/>
        </w:rPr>
        <w:t>topnia</w:t>
      </w:r>
    </w:p>
    <w:p w:rsidR="006A0C6F" w:rsidRPr="006A0C6F" w:rsidRDefault="006A0C6F" w:rsidP="006A0C6F">
      <w:pPr>
        <w:pStyle w:val="NormalnyWeb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0C6F">
        <w:rPr>
          <w:rFonts w:asciiTheme="minorHAnsi" w:hAnsiTheme="minorHAnsi" w:cstheme="minorHAnsi"/>
        </w:rPr>
        <w:t>posiadane doświadczenie jako archiwista zakładowy</w:t>
      </w:r>
    </w:p>
    <w:p w:rsidR="006A0C6F" w:rsidRPr="00175A0D" w:rsidRDefault="006A0C6F" w:rsidP="006A0C6F">
      <w:pPr>
        <w:pStyle w:val="NormalnyWeb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75A0D">
        <w:rPr>
          <w:rFonts w:asciiTheme="minorHAnsi" w:hAnsiTheme="minorHAnsi" w:cstheme="minorHAnsi"/>
          <w:b/>
        </w:rPr>
        <w:t>Zakres obowiązków</w:t>
      </w:r>
    </w:p>
    <w:p w:rsidR="006A0C6F" w:rsidRPr="000A22DD" w:rsidRDefault="006A0C6F" w:rsidP="006A0C6F">
      <w:pPr>
        <w:pStyle w:val="NormalnyWeb"/>
        <w:spacing w:after="0" w:line="240" w:lineRule="auto"/>
        <w:ind w:left="851" w:hanging="142"/>
        <w:jc w:val="both"/>
        <w:rPr>
          <w:rFonts w:asciiTheme="minorHAnsi" w:hAnsiTheme="minorHAnsi" w:cstheme="minorHAnsi"/>
        </w:rPr>
      </w:pPr>
      <w:r w:rsidRPr="000A22DD">
        <w:rPr>
          <w:rFonts w:asciiTheme="minorHAnsi" w:hAnsiTheme="minorHAnsi" w:cstheme="minorHAnsi"/>
        </w:rPr>
        <w:t>1. obsługa bieżąca Archiwum Zakładowego</w:t>
      </w:r>
    </w:p>
    <w:p w:rsidR="006A0C6F" w:rsidRPr="000A22DD" w:rsidRDefault="006A0C6F" w:rsidP="006A0C6F">
      <w:pPr>
        <w:pStyle w:val="NormalnyWeb"/>
        <w:spacing w:after="0" w:line="240" w:lineRule="auto"/>
        <w:ind w:left="851" w:hanging="142"/>
        <w:jc w:val="both"/>
        <w:rPr>
          <w:rFonts w:asciiTheme="minorHAnsi" w:hAnsiTheme="minorHAnsi" w:cstheme="minorHAnsi"/>
        </w:rPr>
      </w:pPr>
      <w:r w:rsidRPr="000A22DD">
        <w:rPr>
          <w:rFonts w:asciiTheme="minorHAnsi" w:hAnsiTheme="minorHAnsi" w:cstheme="minorHAnsi"/>
        </w:rPr>
        <w:t>1.1. archiwizacja nowych dopływów z działów i oddziałów</w:t>
      </w:r>
    </w:p>
    <w:p w:rsidR="006A0C6F" w:rsidRPr="000A22DD" w:rsidRDefault="006A0C6F" w:rsidP="006A0C6F">
      <w:pPr>
        <w:pStyle w:val="NormalnyWeb"/>
        <w:spacing w:after="0" w:line="240" w:lineRule="auto"/>
        <w:ind w:left="851" w:hanging="142"/>
        <w:jc w:val="both"/>
        <w:rPr>
          <w:rFonts w:asciiTheme="minorHAnsi" w:hAnsiTheme="minorHAnsi" w:cstheme="minorHAnsi"/>
        </w:rPr>
      </w:pPr>
      <w:r w:rsidRPr="000A22DD">
        <w:rPr>
          <w:rFonts w:asciiTheme="minorHAnsi" w:hAnsiTheme="minorHAnsi" w:cstheme="minorHAnsi"/>
        </w:rPr>
        <w:t>1.2. przeprowadzanie kwerend archiwalnych</w:t>
      </w:r>
    </w:p>
    <w:p w:rsidR="006A0C6F" w:rsidRPr="000A22DD" w:rsidRDefault="006A0C6F" w:rsidP="006A0C6F">
      <w:pPr>
        <w:pStyle w:val="NormalnyWeb"/>
        <w:spacing w:after="0" w:line="240" w:lineRule="auto"/>
        <w:ind w:left="851" w:hanging="142"/>
        <w:jc w:val="both"/>
        <w:rPr>
          <w:rFonts w:asciiTheme="minorHAnsi" w:hAnsiTheme="minorHAnsi" w:cstheme="minorHAnsi"/>
        </w:rPr>
      </w:pPr>
      <w:r w:rsidRPr="000A22DD">
        <w:rPr>
          <w:rFonts w:asciiTheme="minorHAnsi" w:hAnsiTheme="minorHAnsi" w:cstheme="minorHAnsi"/>
        </w:rPr>
        <w:t>1.3. brakowanie dokumentacji niearchiwalnej</w:t>
      </w:r>
    </w:p>
    <w:p w:rsidR="006A0C6F" w:rsidRPr="000A22DD" w:rsidRDefault="006A0C6F" w:rsidP="006A0C6F">
      <w:pPr>
        <w:pStyle w:val="NormalnyWeb"/>
        <w:spacing w:after="0" w:line="240" w:lineRule="auto"/>
        <w:ind w:left="851" w:hanging="142"/>
        <w:jc w:val="both"/>
        <w:rPr>
          <w:rFonts w:asciiTheme="minorHAnsi" w:hAnsiTheme="minorHAnsi" w:cstheme="minorHAnsi"/>
        </w:rPr>
      </w:pPr>
      <w:r w:rsidRPr="000A22DD">
        <w:rPr>
          <w:rFonts w:asciiTheme="minorHAnsi" w:hAnsiTheme="minorHAnsi" w:cstheme="minorHAnsi"/>
        </w:rPr>
        <w:t>1.4. obsługa modułu e-Archiwum w</w:t>
      </w:r>
      <w:r>
        <w:rPr>
          <w:rFonts w:asciiTheme="minorHAnsi" w:hAnsiTheme="minorHAnsi" w:cstheme="minorHAnsi"/>
        </w:rPr>
        <w:t xml:space="preserve"> systemie e-Dok</w:t>
      </w:r>
    </w:p>
    <w:p w:rsidR="006A0C6F" w:rsidRPr="000A22DD" w:rsidRDefault="006A0C6F" w:rsidP="006A0C6F">
      <w:pPr>
        <w:pStyle w:val="NormalnyWeb"/>
        <w:spacing w:after="0" w:line="240" w:lineRule="auto"/>
        <w:ind w:left="851" w:hanging="142"/>
        <w:jc w:val="both"/>
        <w:rPr>
          <w:rFonts w:asciiTheme="minorHAnsi" w:hAnsiTheme="minorHAnsi" w:cstheme="minorHAnsi"/>
        </w:rPr>
      </w:pPr>
      <w:r w:rsidRPr="000A22DD">
        <w:rPr>
          <w:rFonts w:asciiTheme="minorHAnsi" w:hAnsiTheme="minorHAnsi" w:cstheme="minorHAnsi"/>
        </w:rPr>
        <w:t xml:space="preserve">2. archiwizacja nieuporządkowanych dokumentów, wcześniej przekazanych do Archiwum Zakładowego </w:t>
      </w:r>
    </w:p>
    <w:p w:rsidR="006A0C6F" w:rsidRPr="000A22DD" w:rsidRDefault="006A0C6F" w:rsidP="006A0C6F">
      <w:pPr>
        <w:pStyle w:val="NormalnyWeb"/>
        <w:spacing w:after="0" w:line="240" w:lineRule="auto"/>
        <w:ind w:left="851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0A22DD">
        <w:rPr>
          <w:rFonts w:asciiTheme="minorHAnsi" w:hAnsiTheme="minorHAnsi" w:cstheme="minorHAnsi"/>
        </w:rPr>
        <w:t>przygotowanie materiałów archiwalnych do przekazania do Archiwum Państwowego w Gdańsku (uporządkowanie teczek wg wytycznych AP w Gdańsku, paginacja, digitalizacja)</w:t>
      </w:r>
    </w:p>
    <w:p w:rsidR="006A0C6F" w:rsidRPr="000A22DD" w:rsidRDefault="006A0C6F" w:rsidP="006A0C6F">
      <w:pPr>
        <w:pStyle w:val="NormalnyWeb"/>
        <w:spacing w:after="0" w:line="240" w:lineRule="auto"/>
        <w:ind w:left="851" w:hanging="142"/>
        <w:jc w:val="both"/>
        <w:rPr>
          <w:rFonts w:asciiTheme="minorHAnsi" w:hAnsiTheme="minorHAnsi" w:cstheme="minorHAnsi"/>
        </w:rPr>
      </w:pPr>
      <w:r w:rsidRPr="000A22DD">
        <w:rPr>
          <w:rFonts w:asciiTheme="minorHAnsi" w:hAnsiTheme="minorHAnsi" w:cstheme="minorHAnsi"/>
        </w:rPr>
        <w:t xml:space="preserve">4. </w:t>
      </w:r>
      <w:r>
        <w:rPr>
          <w:rFonts w:asciiTheme="minorHAnsi" w:hAnsiTheme="minorHAnsi" w:cstheme="minorHAnsi"/>
        </w:rPr>
        <w:t xml:space="preserve">  </w:t>
      </w:r>
      <w:r w:rsidRPr="000A22DD">
        <w:rPr>
          <w:rFonts w:asciiTheme="minorHAnsi" w:hAnsiTheme="minorHAnsi" w:cstheme="minorHAnsi"/>
        </w:rPr>
        <w:t>digitalizacja materiałów archiwalnych przekazanych do AP w Malborku do 2019 roku</w:t>
      </w:r>
    </w:p>
    <w:p w:rsidR="006A0C6F" w:rsidRPr="000A22DD" w:rsidRDefault="006A0C6F" w:rsidP="006A0C6F">
      <w:pPr>
        <w:pStyle w:val="NormalnyWeb"/>
        <w:spacing w:after="0" w:line="240" w:lineRule="auto"/>
        <w:ind w:left="851" w:hanging="142"/>
        <w:jc w:val="both"/>
        <w:rPr>
          <w:rFonts w:asciiTheme="minorHAnsi" w:hAnsiTheme="minorHAnsi" w:cstheme="minorHAnsi"/>
        </w:rPr>
      </w:pPr>
      <w:r w:rsidRPr="000A22DD">
        <w:rPr>
          <w:rFonts w:asciiTheme="minorHAnsi" w:hAnsiTheme="minorHAnsi" w:cstheme="minorHAnsi"/>
        </w:rPr>
        <w:t xml:space="preserve">5. </w:t>
      </w:r>
      <w:r>
        <w:rPr>
          <w:rFonts w:asciiTheme="minorHAnsi" w:hAnsiTheme="minorHAnsi" w:cstheme="minorHAnsi"/>
        </w:rPr>
        <w:t xml:space="preserve">   </w:t>
      </w:r>
      <w:r w:rsidRPr="000A22DD">
        <w:rPr>
          <w:rFonts w:asciiTheme="minorHAnsi" w:hAnsiTheme="minorHAnsi" w:cstheme="minorHAnsi"/>
        </w:rPr>
        <w:t>przygotowanie sprawozdania rocznego z działalności Archiwum Zakładowego dla Archiwum Państwowego w Gdańsku</w:t>
      </w:r>
    </w:p>
    <w:p w:rsidR="000E0641" w:rsidRDefault="000E0641" w:rsidP="006A0C6F">
      <w:pPr>
        <w:pStyle w:val="Akapitzlist"/>
        <w:spacing w:line="276" w:lineRule="auto"/>
      </w:pPr>
    </w:p>
    <w:sectPr w:rsidR="000E0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2B0B"/>
    <w:multiLevelType w:val="hybridMultilevel"/>
    <w:tmpl w:val="A4420C20"/>
    <w:lvl w:ilvl="0" w:tplc="2CEE0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F53554"/>
    <w:multiLevelType w:val="hybridMultilevel"/>
    <w:tmpl w:val="4A62E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4745B"/>
    <w:multiLevelType w:val="hybridMultilevel"/>
    <w:tmpl w:val="A4420C2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A23A42"/>
    <w:multiLevelType w:val="hybridMultilevel"/>
    <w:tmpl w:val="52281E8C"/>
    <w:lvl w:ilvl="0" w:tplc="2BBC2DD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6F"/>
    <w:rsid w:val="000E0641"/>
    <w:rsid w:val="006A0C6F"/>
    <w:rsid w:val="00FF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7FC2F-7380-4A24-8795-F378CBAD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0C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Akapit z listą BS,CW_Lista,Colorful List Accent 1,List Paragraph,Średnia siatka 1 — akcent 21,sw tekst,Kolorowa lista — akcent 11,normalny tekst,L1,2 heading,A_wyliczenie,K-P_odwolanie,lp1"/>
    <w:basedOn w:val="Normalny"/>
    <w:link w:val="AkapitzlistZnak"/>
    <w:uiPriority w:val="34"/>
    <w:qFormat/>
    <w:rsid w:val="006A0C6F"/>
    <w:pPr>
      <w:ind w:left="720"/>
      <w:contextualSpacing/>
    </w:pPr>
  </w:style>
  <w:style w:type="character" w:customStyle="1" w:styleId="AkapitzlistZnak">
    <w:name w:val="Akapit z listą Znak"/>
    <w:aliases w:val="Numerowanie Znak,Obiekt Znak,List Paragraph1 Znak,wypunktowanie Znak,Akapit z listą BS Znak,CW_Lista Znak,Colorful List Accent 1 Znak,List Paragraph Znak,Średnia siatka 1 — akcent 21 Znak,sw tekst Znak,Kolorowa lista — akcent 11 Znak"/>
    <w:link w:val="Akapitzlist"/>
    <w:uiPriority w:val="99"/>
    <w:qFormat/>
    <w:rsid w:val="006A0C6F"/>
  </w:style>
  <w:style w:type="paragraph" w:styleId="NormalnyWeb">
    <w:name w:val="Normal (Web)"/>
    <w:basedOn w:val="Normalny"/>
    <w:uiPriority w:val="99"/>
    <w:semiHidden/>
    <w:unhideWhenUsed/>
    <w:rsid w:val="006A0C6F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Aniceta Miszkiewicz</dc:creator>
  <cp:keywords/>
  <dc:description/>
  <cp:lastModifiedBy>Malwina Wiśniewska</cp:lastModifiedBy>
  <cp:revision>2</cp:revision>
  <dcterms:created xsi:type="dcterms:W3CDTF">2024-11-25T07:14:00Z</dcterms:created>
  <dcterms:modified xsi:type="dcterms:W3CDTF">2024-11-25T07:14:00Z</dcterms:modified>
</cp:coreProperties>
</file>