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54" w:rsidRPr="00D86117" w:rsidRDefault="000E7506" w:rsidP="006A5454">
      <w:pPr>
        <w:tabs>
          <w:tab w:val="left" w:pos="1545"/>
        </w:tabs>
        <w:rPr>
          <w:rFonts w:cs="Arial"/>
        </w:rPr>
      </w:pPr>
      <w:r w:rsidRPr="00D86117">
        <w:rPr>
          <w:rFonts w:cs="Arial"/>
        </w:rPr>
        <w:t xml:space="preserve">          </w:t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  <w:r w:rsidR="006A5454" w:rsidRPr="00D86117">
        <w:rPr>
          <w:rFonts w:cs="Arial"/>
        </w:rPr>
        <w:tab/>
      </w:r>
    </w:p>
    <w:p w:rsidR="006A5454" w:rsidRPr="00D86117" w:rsidRDefault="006A5454" w:rsidP="006A5454">
      <w:pPr>
        <w:tabs>
          <w:tab w:val="left" w:pos="1545"/>
        </w:tabs>
        <w:rPr>
          <w:rFonts w:asciiTheme="minorHAnsi" w:hAnsiTheme="minorHAnsi" w:cstheme="minorHAnsi"/>
          <w:sz w:val="22"/>
          <w:szCs w:val="22"/>
        </w:rPr>
      </w:pP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="006802BF" w:rsidRPr="00D86117">
        <w:rPr>
          <w:rFonts w:cs="Arial"/>
        </w:rPr>
        <w:tab/>
      </w:r>
      <w:r w:rsidRPr="00D86117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5F7BF5" w:rsidRPr="00D86117">
        <w:rPr>
          <w:rFonts w:asciiTheme="minorHAnsi" w:hAnsiTheme="minorHAnsi" w:cstheme="minorHAnsi"/>
          <w:sz w:val="22"/>
          <w:szCs w:val="22"/>
        </w:rPr>
        <w:t>21</w:t>
      </w:r>
      <w:r w:rsidRPr="00D86117">
        <w:rPr>
          <w:rFonts w:asciiTheme="minorHAnsi" w:hAnsiTheme="minorHAnsi" w:cstheme="minorHAnsi"/>
          <w:sz w:val="22"/>
          <w:szCs w:val="22"/>
        </w:rPr>
        <w:t>.10.2024 r.</w:t>
      </w:r>
    </w:p>
    <w:p w:rsidR="006A5454" w:rsidRPr="00D86117" w:rsidRDefault="006A5454" w:rsidP="006A545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ab/>
      </w:r>
      <w:r w:rsidRPr="00D86117">
        <w:rPr>
          <w:rFonts w:asciiTheme="minorHAnsi" w:hAnsiTheme="minorHAnsi" w:cstheme="minorHAnsi"/>
          <w:sz w:val="22"/>
          <w:szCs w:val="22"/>
        </w:rPr>
        <w:tab/>
      </w:r>
      <w:r w:rsidRPr="00D86117">
        <w:rPr>
          <w:rFonts w:asciiTheme="minorHAnsi" w:hAnsiTheme="minorHAnsi" w:cstheme="minorHAnsi"/>
          <w:sz w:val="22"/>
          <w:szCs w:val="22"/>
        </w:rPr>
        <w:tab/>
      </w:r>
      <w:r w:rsidRPr="00D86117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B16B21" w:rsidRPr="00D86117" w:rsidRDefault="00B16B21" w:rsidP="00B16B21">
      <w:pPr>
        <w:pStyle w:val="Tytu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</w:pPr>
      <w:r w:rsidRPr="00D86117"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  <w:t>WYJAŚNIENIA I ZMIANA TREŚCI</w:t>
      </w:r>
    </w:p>
    <w:p w:rsidR="00B16B21" w:rsidRPr="00D86117" w:rsidRDefault="00B16B21" w:rsidP="00B16B21">
      <w:pPr>
        <w:pStyle w:val="Tytu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</w:pPr>
      <w:r w:rsidRPr="00D86117"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  <w:t>SPECYFIKACJI WARUNKÓW ZAMÓWIENIA</w:t>
      </w:r>
    </w:p>
    <w:p w:rsidR="00B16B21" w:rsidRPr="00D86117" w:rsidRDefault="00B16B21" w:rsidP="00B16B21">
      <w:pPr>
        <w:pStyle w:val="Tytu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</w:pPr>
      <w:r w:rsidRPr="00D86117">
        <w:rPr>
          <w:rFonts w:asciiTheme="minorHAnsi" w:hAnsiTheme="minorHAnsi" w:cstheme="minorHAnsi"/>
          <w:b/>
          <w:bCs/>
          <w:spacing w:val="0"/>
          <w:kern w:val="0"/>
          <w:sz w:val="24"/>
          <w:szCs w:val="24"/>
        </w:rPr>
        <w:t>Dotyczy: Postępowania o udzielenie zamówienia publicznego</w:t>
      </w:r>
    </w:p>
    <w:p w:rsidR="006A5454" w:rsidRPr="00D86117" w:rsidRDefault="006A5454" w:rsidP="006A5454">
      <w:pPr>
        <w:shd w:val="clear" w:color="auto" w:fill="CCC0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6A5454" w:rsidRPr="00D86117" w:rsidRDefault="006A5454" w:rsidP="006A5454">
      <w:pPr>
        <w:shd w:val="clear" w:color="auto" w:fill="CCC0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D86117">
        <w:rPr>
          <w:rFonts w:asciiTheme="minorHAnsi" w:hAnsiTheme="minorHAnsi" w:cstheme="minorHAnsi"/>
          <w:b/>
          <w:spacing w:val="20"/>
          <w:sz w:val="22"/>
          <w:szCs w:val="22"/>
        </w:rPr>
        <w:t>„</w:t>
      </w:r>
      <w:r w:rsidRPr="00D86117">
        <w:rPr>
          <w:rFonts w:asciiTheme="minorHAnsi" w:hAnsiTheme="minorHAnsi" w:cstheme="minorHAnsi"/>
          <w:b/>
          <w:sz w:val="22"/>
          <w:szCs w:val="22"/>
        </w:rPr>
        <w:t>Świadczenie usługi dzierżawy łączy telekomunikacyjnych dla jednostek Policji województwa świętokrzyskiego</w:t>
      </w:r>
      <w:r w:rsidRPr="00D86117">
        <w:rPr>
          <w:rFonts w:asciiTheme="minorHAnsi" w:hAnsiTheme="minorHAnsi" w:cstheme="minorHAnsi"/>
          <w:b/>
          <w:spacing w:val="20"/>
          <w:sz w:val="22"/>
          <w:szCs w:val="22"/>
        </w:rPr>
        <w:t>”</w:t>
      </w:r>
    </w:p>
    <w:p w:rsidR="006A5454" w:rsidRPr="00D86117" w:rsidRDefault="006A5454" w:rsidP="006A5454">
      <w:pPr>
        <w:shd w:val="clear" w:color="auto" w:fill="CCC0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6A5454" w:rsidRPr="00D86117" w:rsidRDefault="006A5454" w:rsidP="006A5454">
      <w:pPr>
        <w:pStyle w:val="Bezodstpw"/>
        <w:spacing w:after="24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działając na podstawie art. 135 ust.</w:t>
      </w:r>
      <w:r w:rsidR="00B16B21" w:rsidRPr="00D86117">
        <w:rPr>
          <w:rFonts w:asciiTheme="minorHAnsi" w:hAnsiTheme="minorHAnsi" w:cstheme="minorHAnsi"/>
          <w:sz w:val="22"/>
          <w:szCs w:val="22"/>
        </w:rPr>
        <w:t xml:space="preserve"> 3 i ust. </w:t>
      </w:r>
      <w:r w:rsidRPr="00D86117">
        <w:rPr>
          <w:rFonts w:asciiTheme="minorHAnsi" w:hAnsiTheme="minorHAnsi" w:cstheme="minorHAnsi"/>
          <w:sz w:val="22"/>
          <w:szCs w:val="22"/>
        </w:rPr>
        <w:t>6, art. 137 ust. 1</w:t>
      </w:r>
      <w:r w:rsidR="00655F03" w:rsidRPr="00D86117">
        <w:rPr>
          <w:rFonts w:asciiTheme="minorHAnsi" w:hAnsiTheme="minorHAnsi" w:cstheme="minorHAnsi"/>
          <w:sz w:val="22"/>
          <w:szCs w:val="22"/>
        </w:rPr>
        <w:t xml:space="preserve"> i ust. 4</w:t>
      </w:r>
      <w:r w:rsidRPr="00D86117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 (</w:t>
      </w:r>
      <w:r w:rsidRPr="00D86117">
        <w:rPr>
          <w:rStyle w:val="Pogrubienie"/>
          <w:rFonts w:asciiTheme="minorHAnsi" w:hAnsiTheme="minorHAnsi" w:cstheme="minorHAnsi"/>
          <w:b w:val="0"/>
          <w:sz w:val="22"/>
          <w:szCs w:val="22"/>
        </w:rPr>
        <w:t>Dz. U. z 2024 r. poz. 1320 – dalej ust</w:t>
      </w:r>
      <w:r w:rsidRPr="00D86117">
        <w:rPr>
          <w:rFonts w:asciiTheme="minorHAnsi" w:hAnsiTheme="minorHAnsi" w:cstheme="minorHAnsi"/>
          <w:sz w:val="22"/>
          <w:szCs w:val="22"/>
        </w:rPr>
        <w:t>awy) udziela odpowiedzi na zadane pytania</w:t>
      </w:r>
      <w:r w:rsidR="00655F03" w:rsidRPr="00D86117">
        <w:rPr>
          <w:rFonts w:asciiTheme="minorHAnsi" w:hAnsiTheme="minorHAnsi" w:cstheme="minorHAnsi"/>
          <w:sz w:val="22"/>
          <w:szCs w:val="22"/>
        </w:rPr>
        <w:t xml:space="preserve"> oraz </w:t>
      </w:r>
      <w:r w:rsidRPr="00D86117">
        <w:rPr>
          <w:rFonts w:asciiTheme="minorHAnsi" w:hAnsiTheme="minorHAnsi" w:cstheme="minorHAnsi"/>
          <w:sz w:val="22"/>
          <w:szCs w:val="22"/>
        </w:rPr>
        <w:t xml:space="preserve"> modyfikuje treść specyfikacji warunków zamówienia</w:t>
      </w:r>
      <w:r w:rsidR="00B665B8" w:rsidRPr="00D86117">
        <w:rPr>
          <w:rFonts w:asciiTheme="minorHAnsi" w:hAnsiTheme="minorHAnsi" w:cstheme="minorHAnsi"/>
          <w:sz w:val="22"/>
          <w:szCs w:val="22"/>
        </w:rPr>
        <w:t xml:space="preserve"> i ogłoszenia </w:t>
      </w:r>
      <w:r w:rsidR="00B665B8" w:rsidRPr="00D86117">
        <w:rPr>
          <w:rFonts w:asciiTheme="minorHAnsi" w:hAnsiTheme="minorHAnsi" w:cstheme="minorHAnsi"/>
          <w:sz w:val="22"/>
          <w:szCs w:val="22"/>
        </w:rPr>
        <w:br/>
        <w:t>o zamówieniu</w:t>
      </w:r>
      <w:r w:rsidRPr="00D86117">
        <w:rPr>
          <w:rFonts w:asciiTheme="minorHAnsi" w:hAnsiTheme="minorHAnsi" w:cstheme="minorHAnsi"/>
          <w:sz w:val="22"/>
          <w:szCs w:val="22"/>
        </w:rPr>
        <w:t>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Czy Zamawiający może dookreślić, w którym momencie realizacji umowy może mieć miejsce sytuacja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skorzystania przez Zamawiającego z uprawnienia opisanego w projektowych postanowieniach umowy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załącznik 6 § 9 p.7?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określił § 9 p.7 możliwość wypowiedzenia umowy z trzy miesięcznym okresem wypowiedzenia w przypadku centralizacji dzierżawy łączy telekomunikacyjnych w jednostkach Policji całego kraju przez Komendę Główną Policji. Zamawiający nie zna daty centralizacji usługi dzierżawy łączy telekomunikacyjnych w  jednostkach Policji całego kraju przez Komendę Główną Policji.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Prosimy o odpowiedź, czy wykonawca właściwie interpretuje zabezpieczone przez Zamawiającego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uprawnienie opisane w projektowych postanowieniach umowy załącznik 6 § 9 p.7, iż ewentualne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wypowiedzenie złożone przez Zamawiającego będzie może dotyczyć wszystkich usług będących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przedmiotem niniejszego postępowania.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złożone wypowiedzenie będzie dotyczyć usług oraz relacji tylko objętych umową centralną na dzierżawę łączy telekomunikacyjnych w jednostkach Policji całego kraju zawartą przez Komendę Główną Policji. Ewentualne wypowiedzenie może dotyczyć KP i PP, samych KP, samych PP.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3: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lastRenderedPageBreak/>
        <w:t>Prosimy o odpowiedź, czy wykonawca właściwie interpretuje zabezpieczone przez Zamawiającego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uprawnienie opisane w projektowych postanowieniach umowy załącznik 6 § 9 p.7, iż wykonawca (przy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ewentualnym skorzystaniu z tego uprawnienia przez Zamawiającego) nie będzie mógł rościć od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Zamawiającego żadnego dodatkowego wynagrodzenia z tego tytułu.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 xml:space="preserve">Zamawiający informuje, że Wykonawcy będzie przysługiwać prawo do wynagrodzenia z tytułu wykonania części Umowy. Jednocześnie Zamawiający informuje, że dokona zmiany w § 9 p 4 z: 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="007A2942" w:rsidRPr="00D86117">
        <w:rPr>
          <w:rFonts w:asciiTheme="minorHAnsi" w:hAnsiTheme="minorHAnsi" w:cstheme="minorHAnsi"/>
          <w:sz w:val="22"/>
          <w:szCs w:val="22"/>
        </w:rPr>
        <w:br/>
      </w:r>
      <w:r w:rsidRPr="00D86117">
        <w:rPr>
          <w:rFonts w:asciiTheme="minorHAnsi" w:hAnsiTheme="minorHAnsi" w:cstheme="minorHAnsi"/>
          <w:sz w:val="22"/>
          <w:szCs w:val="22"/>
        </w:rPr>
        <w:t>„W przypadkach okoliczności opisanych w ust. 1, 2 i 3, Wykonawca może żądać wyłącznie wynagrodzenia z tytułu wykonania części Umowy.”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na nowy zapis, który otrzyma brzmienie: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„W przypadkach okoliczności opisanych w ust. 1, 2, 3, 6 i 7, Wykonawca może żądać wyłącznie wynagrodzenia z tytułu wykonania części Umowy.”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4:</w:t>
      </w:r>
    </w:p>
    <w:p w:rsidR="006A5454" w:rsidRPr="00D86117" w:rsidRDefault="006A5454" w:rsidP="007A29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wskazuje adres 26-004 Bieliny Partyzantów 18 – aktualnie usługi są świadczone pod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adresem Partyzantów 20– będzie przeniesienie lokalizacji czy nastąpiła zmiana administracyjna?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wskazany adres Posterunku Policji w Bielinach, 26-004 Bieliny, ul. Partyzantów 18 jest poprawny.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5: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wskazuje adres 27-220 Mirzec 17– aktualnie usługi są świadczone pod adresem Mirzec 17a– będzie przeniesienie lokalizacji czy nastąpiła zmiana administracyjna?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w szczegółowym opisie przedmiotu zamówienia został podany poprawny adres Posterunku Policji w Mircu, 27-220 Mirzec, Mirzec Stary 17A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6: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wskazuje adres 28-340 Sędziszów Dworcowa 7C– aktualnie usługi są świadczone pod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adresem Dworcowa 7 – będzie przeniesienie lokalizacji czy nastąpiła zmiana administracyjna?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wskazany adres Komisariatu Policji w Sędziszowie, 28-340 Sędziszów, ul. Dworcowa 7C jest poprawny.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7: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lastRenderedPageBreak/>
        <w:t>Dotyczy Załącznika nr 1 do SWZ, Nr postępowania: 86/PN/2024, „Szczegółowy opis przedmiotu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zamówienia”, pkt. 4,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 xml:space="preserve"> 2). „W przypadku uszkodzenia jednego wyposażenia agregującego po stronie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punktu A, sieć ma pracować na zapasowym wyposażeniu.”. Prosimy o wyjaśnienie terminu „wyposażenia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agregującego po stronie punktu A”. Czy Zamawiający wyposażenie agregujące interpretuje jako całość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infrastruktury Wykonawcy czyli: urządzenie stanowiące zakończeni łącza L2 w lokalizacji Zamawiającego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oraz łącze w dozwolonej technologii przez Zamawiającego, łącze to urządzenie z węzłem sieciowym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Wykonawcy? Czy w związku z tym, iż Zamawiający użył zwrotu „zapasowym”, łącze to ma być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zestawione niezależną drogą, w sposób gwarantujący poprawna pracę w przypadku uszkodzenia łącza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podstawowego i zakończone dodatkowym urządzeniem? Czy przełączanie ma się odbywać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automatycznie na urządzeniach Wykonawcy?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przez termin „wyposażenie agregujące” określił urządzenie sieciowe stanowiące zakończeni łącza L2 w lokalizacji Zamawiającego, które Zamawiający podmieni w przypadku awarii.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8: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Dotyczy Załącznika nr 1 do SWZ, Nr postępowania: 86/PN/2024, „Szczegółowy opis przedmiotu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zamówienia”, pkt. 5,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 xml:space="preserve"> 1). „Wykonawca zapewni na czas obowiązywania umowy serwis Wykonawcy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umożliwiający zgłaszanie awarii tych urządzeń Zamawiającemu.”, oraz Załącznika nr 6 - projekt umowy, §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11, pkt 1.,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>. 1) „możliwość bezpośredniego zgłaszania awarii do Wykonawcy”, pkt. 5.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„Zaproponowany pakiet serwisowy zapewni Wykonawcy możliwość bezpośredniego zgłoszenia awarii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sprzętu do producenta sprzętu przez cały okres trwania gwarancji.”. Prosimy o potwierdzenie, iż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Zmawiający bezwzględnie wymaga zapewnienia serwisu umożliwiającego zgłaszanie awarii sprzętu, w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postaci routera wraz z dodatkowymi kartami i oprogramowaniem tego routera wymienionym w Tabeli nr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1 Załącznika nr 1 do SWZ, bezpośrednio do producenta, jednak w pierwszym kroku takie zgłoszenia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będzie kierował do Wykonawcy.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Zmawiający potwierdza, że wymaga zapewnienia serwisu umożliwiającego zgłaszanie awarii sprzętu, w postaci routera wraz z dodatkowymi kartami i oprogramowaniem tego routera wymienionym w Tabeli nr 1 Załącznika nr 1 do SWZ. Zamawiający takie zgłoszenia będzie kierował bezpośrednio do Wykonawcy.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9: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Dotyczy Załącznika nr 6 - projekt umowy, § 11, pkt 7 „W przypadku uszkodzenia urządzenia w okresie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trwania serwisu gwarancyjnego i braku możliwości naprawy na miejscu, urządzenie zostaje wymienione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na nowe, uszkodzone urządzenie pozostaje u użytkownika.”. Prosimy o potwierdzenie, iż </w:t>
      </w:r>
      <w:r w:rsidRPr="00D86117">
        <w:rPr>
          <w:rFonts w:asciiTheme="minorHAnsi" w:hAnsiTheme="minorHAnsi" w:cstheme="minorHAnsi"/>
          <w:sz w:val="22"/>
          <w:szCs w:val="22"/>
        </w:rPr>
        <w:lastRenderedPageBreak/>
        <w:t>Zamawiający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wymagając serwisu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Defective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Asset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Retention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>, pozwalającego na pozostawienie uszkodzonego sprzętu u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Zamawiającego po wymianie na wolny od wad, zgodnie z wymaganiami producenta, dokona utylizacji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uszkodzonego urządzenia we własnym zakresie potwierdzone odpowiednim protokołem, wymaganym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przez producenta przykładowo podczas ewentualnego audytu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Zmawiający potwierdza, że dokona utylizacji uszkodzonego urządzenia we własnym zakresie potwierdzone odpowiednim protokołem.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10: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Dotyczy załącznika 6 paragraf 11 punkt 7 „W przypadku uszkodzenia urządzenia w okresie trwania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serwisu gwarancyjnego i braku możliwości naprawy na miejscu, urządzenie zostaje wymienione na nowe,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uszkodzone urządzenie pozostaje u użytkownika”.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Umowa przewiduje opłaty abonamentowe za usługę dzierżawy łączy oraz między innymi zgodnie z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zapisami OPZ punkt 1 podpunkt b) „zapewnienie 24 miesięcznego serwisu Wykonawcy na posiadany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przez Zamawiającego sprzęt” . Przepisy podatkowe nie uwzględniają możliwości zafakturowania ceny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sprzedaży sprzętu (towaru) w jednej pozycji w cenie usługi. Jeśli faktury będą zawierały tylko opłatę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abonamentową za łącze to realizacja powyższego zapisu załącznika 6 paragraf 11 punkt 7 umowy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oznacza, że sprzęt będzie przekazany nieodpłatnie. Kalkulacja kosztu sprzętu w cenie usługi nie oznacza,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że został on sprzedany. W konsekwencji nieodpłatne przekazanie towaru oznacza (zgodnie z art. 7 ust. 2 i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art. 29 a ust. 2 ustawy o podatku VAT), że po stronie Wykonawcy powstanie obowiązek odprowadzenia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podatku należnego VAT wyliczonego od ceny nabycia towaru.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Czy zamawiający zgodzi się na dodanie, każdorazowo na miesięcznych fakturach ceny sprzedaży sprzętu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(w odrębnej linii)w cenie 1 zł netto z tytułu dostawy nowego urządzenia?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Czy powyższa zmiana może zostać zapisana w umowie? W przeciwnym razie koszt netto dostarczonego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przez Wykonawcę sprzętu przejdzie na własność Zamawiającego za 0 zł, staje się to kosztem brutto, z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uwagi na konieczność odprowadzenia podatku VAT. Co powoduje, ostatecznie wyższe koszty dla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Zamawiającego, które Wykonawca będzie musiał wkalkulować w miesięczne opłaty za usługę.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Zmawiający wyraża zgodę na wystawienie faktury po zakończeniu okresu trwania umowy jeżeli dojdzie do wymiany urządzenia na nowe. Zamawiający w projekcie umowy w § 3 doda zapis: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„Wykonawca po zakończeniu umowy wystawi odrębną fakturę, za każde urządzenie, które zostało wymienione na nowe po cenie jednostkowej za jedną sztukę - 1,00zł (jeden złotych) netto plus należny podatek VAT wg stawki obowiązującej w dniu wykupu. Faktura winna być wystawiona na Komendę Wojewódzką Policji w Kielcach”,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lastRenderedPageBreak/>
        <w:t>Zamawiający również dokona zmiany szczegółowego opisu przedmiotu zamówienia i w punkcie 3 doda zapis: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„Po zakończeniu umowy Wykonawca wystawi odrębną fakturę za każde urządzenie, które zostało wymienione na nowe po cenie jednostkowej za jedną sztukę - 1,00zł (jeden złotych) netto plus należny podatek VAT wg stawki obowiązującej w dniu wykupu.”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11: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Według danych producenta Cisco urządzenia o numerach seryjnych wskazane w poniższej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tabeli obecnie nie są objęte wsparciem serwisowym. Jest możliwe ustawienie daty startu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serwisu z datą 90 dni w przód od dnia bieżącego, natomiast Producent Cisco zgodnie z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procedurą przez pierwszych 30 dni od objęcia urządzenia nowym kontraktem serwisowym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nie wysyła zamienników. W związku z czym, dopiero po 30 dniach procedura RMA (Return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  <w:lang w:val="en-US"/>
        </w:rPr>
        <w:t xml:space="preserve">Material Authorization) jest </w:t>
      </w:r>
      <w:proofErr w:type="spellStart"/>
      <w:r w:rsidRPr="00D86117">
        <w:rPr>
          <w:rFonts w:asciiTheme="minorHAnsi" w:hAnsiTheme="minorHAnsi" w:cstheme="minorHAnsi"/>
          <w:sz w:val="22"/>
          <w:szCs w:val="22"/>
          <w:lang w:val="en-US"/>
        </w:rPr>
        <w:t>możliwa</w:t>
      </w:r>
      <w:proofErr w:type="spellEnd"/>
      <w:r w:rsidRPr="00D8611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D86117">
        <w:rPr>
          <w:rFonts w:asciiTheme="minorHAnsi" w:hAnsiTheme="minorHAnsi" w:cstheme="minorHAnsi"/>
          <w:sz w:val="22"/>
          <w:szCs w:val="22"/>
        </w:rPr>
        <w:t>Prosimy o potwierdzenie, że Zamawiający akceptuje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takie rozwiązanie.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2901"/>
        <w:gridCol w:w="2126"/>
        <w:gridCol w:w="1521"/>
      </w:tblGrid>
      <w:tr w:rsidR="00D86117" w:rsidRPr="00D86117" w:rsidTr="006F0961">
        <w:trPr>
          <w:trHeight w:val="557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Lokalizacja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Nazwa urządzenia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Typ urządzenia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Numer seryjny urządzenia</w:t>
            </w:r>
          </w:p>
        </w:tc>
      </w:tr>
      <w:tr w:rsidR="00D86117" w:rsidRPr="00D86117" w:rsidTr="006F0961">
        <w:trPr>
          <w:trHeight w:val="346"/>
          <w:jc w:val="center"/>
        </w:trPr>
        <w:tc>
          <w:tcPr>
            <w:tcW w:w="97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NIM4FXSP</w:t>
            </w:r>
          </w:p>
        </w:tc>
        <w:tc>
          <w:tcPr>
            <w:tcW w:w="212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FOC2305633B</w:t>
            </w:r>
          </w:p>
        </w:tc>
      </w:tr>
      <w:tr w:rsidR="00D86117" w:rsidRPr="00D86117" w:rsidTr="006F0961">
        <w:trPr>
          <w:trHeight w:val="346"/>
          <w:jc w:val="center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FOC23056332</w:t>
            </w:r>
          </w:p>
        </w:tc>
      </w:tr>
      <w:tr w:rsidR="00D86117" w:rsidRPr="00D86117" w:rsidTr="006F0961">
        <w:trPr>
          <w:trHeight w:val="346"/>
          <w:jc w:val="center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ISR4321 CHASSIS + License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ISR4321/K9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FDO2101A0KQ</w:t>
            </w:r>
          </w:p>
        </w:tc>
      </w:tr>
      <w:tr w:rsidR="00D86117" w:rsidRPr="00D86117" w:rsidTr="006F0961">
        <w:trPr>
          <w:trHeight w:val="346"/>
          <w:jc w:val="center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FOC28020AKJ</w:t>
            </w:r>
          </w:p>
        </w:tc>
      </w:tr>
      <w:tr w:rsidR="00D86117" w:rsidRPr="00D86117" w:rsidTr="006F0961">
        <w:trPr>
          <w:trHeight w:val="346"/>
          <w:jc w:val="center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FOC28020AGE</w:t>
            </w:r>
          </w:p>
        </w:tc>
      </w:tr>
    </w:tbl>
    <w:p w:rsidR="007A2942" w:rsidRPr="00D86117" w:rsidRDefault="007A2942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akceptuje takie rozwiązanie.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12: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Według danych producenta Cisco poniższe urządzenia o numerach seryjnych przedstawione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="007A2942" w:rsidRPr="00D86117">
        <w:rPr>
          <w:rFonts w:asciiTheme="minorHAnsi" w:hAnsiTheme="minorHAnsi" w:cstheme="minorHAnsi"/>
          <w:sz w:val="22"/>
          <w:szCs w:val="22"/>
        </w:rPr>
        <w:br/>
      </w:r>
      <w:r w:rsidRPr="00D86117">
        <w:rPr>
          <w:rFonts w:asciiTheme="minorHAnsi" w:hAnsiTheme="minorHAnsi" w:cstheme="minorHAnsi"/>
          <w:sz w:val="22"/>
          <w:szCs w:val="22"/>
        </w:rPr>
        <w:t>w poniższej tabeli zarejestrowane są na klienta końcowego: „ORANGE POLSKA”. Prosimy o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weryfikację podanych numerów seryjnych oraz informację dotyczącą lokalizacji sprzętu wraz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 kodem pocztowym.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462"/>
        <w:gridCol w:w="2150"/>
        <w:gridCol w:w="1633"/>
      </w:tblGrid>
      <w:tr w:rsidR="00D86117" w:rsidRPr="00D86117" w:rsidTr="00B42115">
        <w:trPr>
          <w:trHeight w:val="552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Lokalizacja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Nazwa urządzenia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Typ urządzenia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Numer seryjny urządzenia</w:t>
            </w:r>
          </w:p>
        </w:tc>
      </w:tr>
      <w:tr w:rsidR="00D86117" w:rsidRPr="00D86117" w:rsidTr="00B42115">
        <w:trPr>
          <w:trHeight w:val="557"/>
          <w:jc w:val="center"/>
        </w:trPr>
        <w:tc>
          <w:tcPr>
            <w:tcW w:w="121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246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ISR4321 CHASSIS + License</w:t>
            </w:r>
          </w:p>
        </w:tc>
        <w:tc>
          <w:tcPr>
            <w:tcW w:w="21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ISR4321</w:t>
            </w:r>
          </w:p>
        </w:tc>
        <w:tc>
          <w:tcPr>
            <w:tcW w:w="163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FDO2205A0RP</w:t>
            </w:r>
          </w:p>
        </w:tc>
      </w:tr>
      <w:tr w:rsidR="00D86117" w:rsidRPr="00D86117" w:rsidTr="00B42115">
        <w:trPr>
          <w:trHeight w:val="547"/>
          <w:jc w:val="center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NIM4FXSP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FOC28020AKJ</w:t>
            </w:r>
          </w:p>
        </w:tc>
      </w:tr>
      <w:tr w:rsidR="00D86117" w:rsidRPr="00D86117" w:rsidTr="00B42115">
        <w:trPr>
          <w:trHeight w:val="557"/>
          <w:jc w:val="center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FOC28020AGE</w:t>
            </w:r>
          </w:p>
        </w:tc>
      </w:tr>
    </w:tbl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dokonał weryfikacji podanych numerów seryjnych sprzętu: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1733"/>
        <w:gridCol w:w="1984"/>
        <w:gridCol w:w="1528"/>
        <w:gridCol w:w="2420"/>
      </w:tblGrid>
      <w:tr w:rsidR="00D86117" w:rsidRPr="00D86117" w:rsidTr="006F0961">
        <w:trPr>
          <w:trHeight w:val="552"/>
          <w:jc w:val="center"/>
        </w:trPr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Lokalizacja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Nazwa urządzenia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Typ urządzenia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Numer seryjny urządzenia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  <w:lang w:val="en-US"/>
              </w:rPr>
              <w:t>Adres</w:t>
            </w:r>
            <w:proofErr w:type="spellEnd"/>
          </w:p>
        </w:tc>
      </w:tr>
      <w:tr w:rsidR="00D86117" w:rsidRPr="00D86117" w:rsidTr="006F0961">
        <w:trPr>
          <w:trHeight w:val="745"/>
          <w:jc w:val="center"/>
        </w:trPr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ISR4321 CHASSIS + License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ISR4321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FDO2205A0RP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Ćmielów,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27-440 Ćmielów, ul. Ostrowiecka 23</w:t>
            </w:r>
          </w:p>
        </w:tc>
      </w:tr>
      <w:tr w:rsidR="00D86117" w:rsidRPr="00D86117" w:rsidTr="006F0961">
        <w:trPr>
          <w:trHeight w:val="853"/>
          <w:jc w:val="center"/>
        </w:trPr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NIM4FXSP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FOC28020AKJ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 Bogorii, powiat staszowski, gmina Bogoria, działka nr 639/2</w:t>
            </w:r>
          </w:p>
        </w:tc>
      </w:tr>
      <w:tr w:rsidR="00D86117" w:rsidRPr="00D86117" w:rsidTr="006F0961">
        <w:trPr>
          <w:trHeight w:val="851"/>
          <w:jc w:val="center"/>
        </w:trPr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NIM4FXSP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Voice analog module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FOC28020AGE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 Wiślicy, powiat buski, gmina Wiślica, działka nr 971/4</w:t>
            </w:r>
          </w:p>
        </w:tc>
      </w:tr>
    </w:tbl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13: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Według danych producenta Cisco poniższe urządzenie o numerze seryjnym: FDO2101A0KQ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zarejestrowane jest na klienta końcowego: „LASY PAŃSTWOWE”. Prosimy o weryfikację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podanego numeru seryjnego oraz informację dotyczącą lokalizacji sprzętu wraz z kodem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pocztowym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410"/>
        <w:gridCol w:w="1277"/>
        <w:gridCol w:w="2006"/>
      </w:tblGrid>
      <w:tr w:rsidR="00D86117" w:rsidRPr="00D86117" w:rsidTr="006F0961">
        <w:trPr>
          <w:trHeight w:val="552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Lokalizacja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Nazwa urządzenia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Typ urządzenia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Numer seryjny urządzenia</w:t>
            </w:r>
          </w:p>
        </w:tc>
      </w:tr>
      <w:tr w:rsidR="00D86117" w:rsidRPr="00D86117" w:rsidTr="006F0961">
        <w:trPr>
          <w:trHeight w:val="566"/>
          <w:jc w:val="center"/>
        </w:trPr>
        <w:tc>
          <w:tcPr>
            <w:tcW w:w="12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ISR4321 CHASSIS + License</w:t>
            </w:r>
          </w:p>
        </w:tc>
        <w:tc>
          <w:tcPr>
            <w:tcW w:w="127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ISR4321/K9</w:t>
            </w:r>
          </w:p>
        </w:tc>
        <w:tc>
          <w:tcPr>
            <w:tcW w:w="20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FDO2101A0KQ</w:t>
            </w:r>
          </w:p>
        </w:tc>
      </w:tr>
    </w:tbl>
    <w:p w:rsidR="007A2942" w:rsidRPr="00D86117" w:rsidRDefault="007A2942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dokonał weryfikacji podanego numeru seryjnego sprzętu: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1843"/>
        <w:gridCol w:w="1593"/>
        <w:gridCol w:w="1701"/>
        <w:gridCol w:w="2769"/>
      </w:tblGrid>
      <w:tr w:rsidR="00D86117" w:rsidRPr="00D86117" w:rsidTr="006F0961">
        <w:trPr>
          <w:trHeight w:val="552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Lokalizacja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Nazwa urządzenia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Typ urządzenia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</w:rPr>
              <w:t>Numer seryjny urządzenia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white"/>
                <w:lang w:val="en-US"/>
              </w:rPr>
              <w:t>Adres</w:t>
            </w:r>
            <w:proofErr w:type="spellEnd"/>
          </w:p>
        </w:tc>
      </w:tr>
      <w:tr w:rsidR="00D86117" w:rsidRPr="00D86117" w:rsidTr="006F0961">
        <w:trPr>
          <w:trHeight w:val="745"/>
          <w:jc w:val="center"/>
        </w:trPr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ISR4321 CHASSIS + License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ISR4321/K9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FDO2101A0KQ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Kunów,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27-415 Kunów, ul. Kościuszki 2</w:t>
            </w:r>
          </w:p>
        </w:tc>
      </w:tr>
    </w:tbl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14: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Prosimy o szczegółowy wykaz lokalizacji wszystkich urządzeń z załącznika wraz z kodem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pocztowym.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115"/>
        <w:gridCol w:w="1954"/>
        <w:gridCol w:w="1731"/>
      </w:tblGrid>
      <w:tr w:rsidR="00D86117" w:rsidRPr="00D86117" w:rsidTr="006F0961">
        <w:trPr>
          <w:trHeight w:val="227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jednostki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 urządzenia</w:t>
            </w:r>
          </w:p>
        </w:tc>
      </w:tr>
      <w:tr w:rsidR="00D86117" w:rsidRPr="00D86117" w:rsidTr="006F0961">
        <w:trPr>
          <w:cantSplit/>
          <w:trHeight w:val="53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Bodzentyn,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26-010 Bodzentyn, ul. Piłsudzkiego 3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FDO2316A2BE</w:t>
            </w:r>
          </w:p>
        </w:tc>
      </w:tr>
      <w:tr w:rsidR="00D86117" w:rsidRPr="00D86117" w:rsidTr="006F0961">
        <w:trPr>
          <w:cantSplit/>
          <w:trHeight w:val="53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FOC2305635Q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Chęciny,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26-060 Chęciny, ul. Osiedle Północ 9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FDO2316A2BQ</w:t>
            </w:r>
          </w:p>
        </w:tc>
      </w:tr>
      <w:tr w:rsidR="00D86117" w:rsidRPr="00D86117" w:rsidTr="006F0961">
        <w:trPr>
          <w:cantSplit/>
          <w:trHeight w:val="30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FOC2305637P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Daleszyce,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26-021 Daleszyce, ul. Sienkiewicza 35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FDO2416M3NR</w:t>
            </w:r>
          </w:p>
        </w:tc>
      </w:tr>
      <w:tr w:rsidR="00D86117" w:rsidRPr="00D86117" w:rsidTr="006F0961">
        <w:trPr>
          <w:cantSplit/>
          <w:trHeight w:val="30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FOC2305633B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Morawica,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26-026 Morawica, ul. Wolności 31C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FDO2316A2B9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 2305635R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Raków,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26-035 Raków, ul. Leśna 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FDO2316A2B6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 2305636G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Strawczyn,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26-067 Strawczyn, ul. Sportowa 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tabs>
                <w:tab w:val="left" w:pos="10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FDO2316A2B4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FOC23056326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Sitkówka-Nowiny,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26-052, ul. Białe Zagłębie 30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FDO2316A2BP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FOC2305631L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Solec Zdrój,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28-131 Solec Zdrój, ul. 1 Maja 10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FDO2316A2AX</w:t>
            </w:r>
          </w:p>
        </w:tc>
      </w:tr>
      <w:tr w:rsidR="00D86117" w:rsidRPr="00D86117" w:rsidTr="006F0961">
        <w:trPr>
          <w:cantSplit/>
          <w:trHeight w:val="115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FOC2305633F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Stopnica,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28-130 Stopnica, ul. Kościuszki 11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FDO2316A2BK</w:t>
            </w:r>
          </w:p>
        </w:tc>
      </w:tr>
      <w:tr w:rsidR="00D86117" w:rsidRPr="00D86117" w:rsidTr="006F0961">
        <w:trPr>
          <w:cantSplit/>
          <w:trHeight w:val="78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FOC2305631F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Małogoszcz,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28-366 Małogoszcz, ul. Osiedle 1a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FDO2316A2BG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FOC23056374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Radoszyce,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26-230 Radoszyce, ul. Ogrodowa 19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FDO2316A2B2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FOC23056338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Stąporków,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26-220 Stąporków, Plac Wolności 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FDO2316A2B8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FOC23056362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Ożarów,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27-530 Ożarów, ul. Jana Pawła II 13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FDO2316A2B0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FOC23056339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Ćmielów,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27-440 Ćmielów, ul. Ostrowiecka 23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FDO2205A0RP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FOC23056332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Kunów,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27-415 Kunów, ul. Kościuszki 2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FDO2101A0KQ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FOC2413092J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Waśniów,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27-425 Waśniów, Rynek 25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FDO2316A2CQ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FOC23056366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Działoszyce,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28-440 Działoszyce, ul. Kościuszki 42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FDO2316A2BM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FOC2305633A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Dwikozy,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27-620 Dwikozy, ul. Spółdzielcza 11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FDO2316A2BA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FOC2305631U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Koprzywnica,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27-660 Koprzywnica, ul. 11 Listopada 98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FDO2316A2AZ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FOC2305635T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Suchedniów,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26-130 Suchedniów, ul. 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Berezów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FDO2316A2BH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FOC23056341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Brody,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27-230 Brody, ul. Starachowicka 14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FDO2316A2B7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FOC2305633S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Połaniec,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28-230 Połaniec, ul. Wyzwolenia 3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FDO2316A2BC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FOC2305633J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Chmielnik,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26-020 Chmielnik, ul. 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Starobuska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FDO2310A2FA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C22373G72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 Bielinach,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26-004 Bieliny, ul. Partyzantów 18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FDO2535M0EQ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FOC25230D59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Mirzec,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27-220 Mirzec, Mirzec Stary 17A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FDO2629M0F6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FOC26090EN1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Lipnik,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27-540 Lipnik 23a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FDO2629M0F3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FOC26090EX3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Szydłów,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28-225 Szydłów, ul. Targowa 5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FDO2629M0F8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FOC26090EQB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Osiek,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28- 221 Osiek, ul. Wolności 1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FDO2629M0FA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FOC26090EN8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br w:type="page"/>
              <w:t>29.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Komisariat Policji Sędziszów,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28-340 Sędziszów, ul. Dworcowa 7C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FDO2316A2CP</w:t>
            </w:r>
          </w:p>
        </w:tc>
      </w:tr>
      <w:tr w:rsidR="00D86117" w:rsidRPr="00D86117" w:rsidTr="006F0961">
        <w:trPr>
          <w:cantSplit/>
          <w:trHeight w:val="269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FOC2305635C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 Bogorii, powiat staszowski, gmina Bogoria, działka nr 639/2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FDO2644M0UT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FOC28020AKJ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Posterunek Policji w Wiślicy, powiat buski, gmina Wiślica, działka nr 971/4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CISCO ISR4321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FDO2644M0UW</w:t>
            </w:r>
          </w:p>
        </w:tc>
      </w:tr>
      <w:tr w:rsidR="00D86117" w:rsidRPr="00D86117" w:rsidTr="006F0961">
        <w:trPr>
          <w:cantSplit/>
          <w:trHeight w:val="60"/>
          <w:jc w:val="center"/>
        </w:trPr>
        <w:tc>
          <w:tcPr>
            <w:tcW w:w="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CISCO NIM4FXSP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FOC28020AGE</w:t>
            </w:r>
          </w:p>
        </w:tc>
      </w:tr>
    </w:tbl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15:</w:t>
      </w:r>
    </w:p>
    <w:p w:rsidR="006A5454" w:rsidRPr="00D86117" w:rsidRDefault="006A5454" w:rsidP="007A29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Prosimy o potwierdzenie, że w wycenie należy uwzględnić również poniższe „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Instance</w:t>
      </w:r>
      <w:proofErr w:type="spellEnd"/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 xml:space="preserve"> urządzenia”, które są elementami ukompletowania (Minor) urządzeń o numerach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seryjnych wskazanych w kolumnie „Reference Serial </w:t>
      </w:r>
      <w:proofErr w:type="spellStart"/>
      <w:r w:rsidRPr="00D86117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D86117">
        <w:rPr>
          <w:rFonts w:asciiTheme="minorHAnsi" w:hAnsiTheme="minorHAnsi" w:cstheme="minorHAnsi"/>
          <w:sz w:val="22"/>
          <w:szCs w:val="22"/>
        </w:rPr>
        <w:t>”.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5009"/>
        <w:gridCol w:w="1276"/>
        <w:gridCol w:w="1464"/>
      </w:tblGrid>
      <w:tr w:rsidR="00D86117" w:rsidRPr="00D86117" w:rsidTr="006F0961">
        <w:trPr>
          <w:trHeight w:val="552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Nazwa urządzenia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CC0098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Opis urządzenia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Instance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Numnber</w:t>
            </w:r>
            <w:proofErr w:type="spellEnd"/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00"/>
            <w:vAlign w:val="center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Reference</w:t>
            </w:r>
          </w:p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Serial Number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5344042423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FDO2316A2BK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5344042429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FDO2316A2BQ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5344042438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FDO2316A2CN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5344042443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FDO2316A2BH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5344042447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FDO2316A2BT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5344042452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FDO2316A2CP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5344042457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FDO2316A2BP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5344042460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FDO2316A2BM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5344042465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FDO2316A2CQ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5344042544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FDO2316A2BA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5344042547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FDO2316A2AX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5344042552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FDO2316A2BE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5344042556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FDO2316A2BG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5344042560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FDO2316A2AZ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5344042565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FDO2316A2B0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5344042568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FDO2316A2B9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5344042572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FDO2316A2B8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5344042576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FDO2316A2B7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5344042580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FDO2316A2B4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5344042584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FDO2316A2B6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5344042588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FDO2316A2B2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5344042592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FDO2316A2BC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CUBE-L- STD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^CUBE - 1 Line Session License (Not for trunk use)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5458592256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FDO2416M3NR</w:t>
            </w:r>
          </w:p>
        </w:tc>
      </w:tr>
      <w:tr w:rsidR="00D86117" w:rsidRPr="00D86117" w:rsidTr="006F0961">
        <w:trPr>
          <w:trHeight w:val="62"/>
          <w:jc w:val="center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SRST-EP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^Cisco SRST - 1 SRST Endpoint License (</w:t>
            </w:r>
            <w:proofErr w:type="spellStart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EDelivery</w:t>
            </w:r>
            <w:proofErr w:type="spellEnd"/>
            <w:r w:rsidRPr="00D861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Smart)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5458592229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A5454" w:rsidRPr="00D86117" w:rsidRDefault="006A5454" w:rsidP="00BB1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117">
              <w:rPr>
                <w:rFonts w:asciiTheme="minorHAnsi" w:hAnsiTheme="minorHAnsi" w:cstheme="minorHAnsi"/>
                <w:sz w:val="22"/>
                <w:szCs w:val="22"/>
              </w:rPr>
              <w:t>FDO2416M3NR</w:t>
            </w:r>
          </w:p>
        </w:tc>
      </w:tr>
    </w:tbl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lastRenderedPageBreak/>
        <w:t>Zamawiający w postępowaniu nie wymaga licencji SRST-EP oraz CUBE-L-STD.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16:</w:t>
      </w:r>
    </w:p>
    <w:p w:rsidR="006A5454" w:rsidRPr="00D86117" w:rsidRDefault="006A5454" w:rsidP="007A29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załączniku został podany numer seryjny: FOC23056332, który jest elementem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ukompletowania urządzenia głównego: ISR4321-VSEC/K9 o numerze seryjnym: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FDO2316A2CN, którego nie ma na liście. Wycena jest możliwa wraz z urządzeniem głównym.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Prosimy o potwierdzenie numeru seryjnego urządzenia głównego - FDO2316A2CN.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zweryfikował podany numer seryjny karty NIM-4FXSP FOC23056332 i informuje, że karta jest na wyposażeniu routera ISR4321 o numerze seryjnym FDO2205A0RP.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17: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załączniku został podany numer seryjny: FOC2305633B, który jest elementem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ukompletowania urządzenia głównego: ISR4321-VSEC/K9 o numerze seryjnym: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FDO2316A2BT, którego nie ma na liście. Wycena jest możliwa wraz z urządzeniem głównym.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Prosimy o potwierdzenie numeru seryjnego urządzenia głównego - FDO2316A2BT.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zweryfikował podany numer seryjny karty NIM-4FXSP FOC2305633B i informuje, że karta jest na wyposażeniu routera ISR4321 o numerze seryjnym FDO2416M3NR.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18: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potwierdzenie, że ewentualna zmiana relacji łącza następować będzie w trybie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zmiany umowy wraz z określeniem konsekwencji finansowych takiej zmiany.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zmiana relacji łącza następować będzie poprzez sporządzenie aneksu do umowy głównej. Miesięczne koszty dzierżawy dla nowej relacji będą zgodne z kosztami w ofercie cenowej dla danego komisariatu / posterunku policji w danej miejscowości. Zmiana relacji będzie w granicach administracyjnych danej miejscowości np. nowy posterunek / komisariat przy innej ulicy.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19: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Czy Usługa będzie świadczona w ramach umowy głównej przedstawionej przez Zamawiającego, czy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zostanie również podpisana dodatkowo umowa dzierżawy łączy zgodna z wzorem przedstawionym przez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Wykonawcę?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lastRenderedPageBreak/>
        <w:t>Zamawiający informuje, że świadczenie usługi dzierżawy łączy telekomunikacyjnych dla jednostek Policji województwa świętokrzyskiego będzie w ramach umowy głównej przedstawionej przez Zamawiającego.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20: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potwierdzenie, że Zamawiający zobowiązuje się do nieodpłatnego udostępnienia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wszelkich powierzchni i lokalizacji oraz elementów infrastruktury niezbędnych do prawidłowej realizacji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przedmiotu Umowy.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wszystkie koszty związane z budową, udostępnieniem wszelkich powierzchni w lokalizacjach Wykonawca musi wliczyć w koszty oferty. Zamawiający jedynie zobowiązuje się do nieodpłatnego udostępnienia miejsca w szafie teleinformatycznej dla urządzenia końcowego.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21: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potwierdzenie, że Zamawiający ponosi pełną odpowiedzialność za wszelkie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urządzenia powierzone Zamawiającemu w okresie i w celu realizacji Umowy, jak również o potwierdzenie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ich niezwłocznego zwrotu w należytym stanie bezpośrednio po wygaśnięciu lub rozwiązaniu Umowy.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weźmie odpowiedzialność tylko za urządzenie końcowe, które zostanie zainstalowane w szafie teleinformatycznej. Za wszystkie inne urządzenia zainstalowane poza szafą teleinformatyczną Zamawiający nie bierze odpowiedzialności.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22: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Mając na uwadze wyrok Sądu Najwyższego z 12 lipca 1996 r. (sygn. akt II CRN 79/96), zgodnie z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którym: "(..) w rozliczeniach bezgotówkowych za chwilę otrzymania zapłaty przez wierzyciela uważać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trzeba chwilę uznania jego rachunku bankowego", Wykonawca wnosi o przyjęcie i zmianę w § 3 ust 16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Umowy, że dniem zapłaty będzie dzień wpływu należności na konto Wykonawcy. Jak potwierdza bowiem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powyższe orzeczenie Sądu Najwyższego, za spełnienie świadczenia pieniężnego uważa się postawienie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środków pieniężnych do dyspozycji wierzyciela, co w przypadku płatności bezgotówkowej oznacza, że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datą spełnienia świadczenia jest dzień, w którym świadczenie zasiliło jego rachunek bankowy.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A1181F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nie wyraża zgody a</w:t>
      </w:r>
      <w:r w:rsidR="006A5454" w:rsidRPr="00D86117">
        <w:rPr>
          <w:rFonts w:asciiTheme="minorHAnsi" w:hAnsiTheme="minorHAnsi" w:cstheme="minorHAnsi"/>
          <w:sz w:val="22"/>
          <w:szCs w:val="22"/>
        </w:rPr>
        <w:t>by dniem zapłaty był dzień wpływu należności na konto Wykonawcy.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23: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potwierdzenie, że dla każdej lokalizacji w jakiej usługa będzie świadczona,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protokół zdawczo-odbiorczy będzie podpisywany odrębnie. Jednocześnie, Wykonawca wnosi o przyjęcie,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by płatność wynagrodzenia następowało po uruchomieniu przez Wykonawcę każdego łącza w relacjach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wskazanych w treści OPZ, a nie dopiero po uruchomieniu wszystkich łączy i podpisaniu protokołu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końcowego.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potwierdza, aby dla każdej lokalizacji, w której usługa będzie świadczona był sporządzony odrębny protokół zdawczo – odbiorczy. Natomiast Zamawiający nie wyraża zgody, aby płatność następowała po uruchomieniu przez Wykonawcę danego łącza. Zamawiający informuje, że płatności za usługę będą naliczane od terminów wskazanych w OPZ.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24: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Mając na uwadze złożony charakter zamówienia, jak również objęcie przedmiotem zamówienia 31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relacji w jakich usługa ma być świadczona Wykonawca wnosi o wskazanie czy w przypadku braku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możliwości realizacji umowy lub braku możliwości wdrożenia usługi w terminie dla którejś z relacji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wskazanej w treści SIWZ, Zamawiający dopuszcza możliwość odstąpienia od umowy lub rozwiązania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umowy w części w jakiej umowa nie została prawidłowo wykonana?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nie dopuszcza możliwości odstąpienia od umowy w części w jakiej umowa nie została zrealizowana. Zamawiający wymaga aby wszystkie łącza były oddane do użytkowania przez Wykonawcę zgodnie z określonymi terminami w OPZ oraz wymaganiami. W przypadku braku uruchomienia usługi dla którejś z relacji w terminie, Zamawiający naliczy Wykonawcy kary umowne i rozwiąże umowę główną z Wykonawcą.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25: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odniesieniu do § 1 ust 1 pkt 7 Umowy – Wykonawca wnosi o potwierdzenie iż w przypadku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 xml:space="preserve">konieczności </w:t>
      </w:r>
      <w:r w:rsidR="007A2942" w:rsidRPr="00D86117">
        <w:rPr>
          <w:rFonts w:asciiTheme="minorHAnsi" w:hAnsiTheme="minorHAnsi" w:cstheme="minorHAnsi"/>
          <w:sz w:val="22"/>
          <w:szCs w:val="22"/>
        </w:rPr>
        <w:t>podjęcia</w:t>
      </w:r>
      <w:r w:rsidRPr="00D86117">
        <w:rPr>
          <w:rFonts w:asciiTheme="minorHAnsi" w:hAnsiTheme="minorHAnsi" w:cstheme="minorHAnsi"/>
          <w:sz w:val="22"/>
          <w:szCs w:val="22"/>
        </w:rPr>
        <w:t xml:space="preserve"> prac niecierpiących zwłoki a dotyczących łączy dzierżawionych nie jest wymagana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uprzednia zgoda Zamawiającego, a jedynie powiadomienie Zamawiającego o fakcie rozpoczęcia tych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czynności.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 xml:space="preserve">Zamawiający informuje Wykonawcę, że w § 1 nie ma ust 1 pkt 7. Zamawiający przypuszcza, że Wykonawcy chodzi o § 5 ust 1 pkt 7, w którym to Zamawiający pisze o pracach planowych. W przypadku konieczności podjęcia prac niecierpiących zwłoki na łączach dzierżawionych Zamawiający </w:t>
      </w:r>
      <w:r w:rsidRPr="00D86117">
        <w:rPr>
          <w:rFonts w:asciiTheme="minorHAnsi" w:hAnsiTheme="minorHAnsi" w:cstheme="minorHAnsi"/>
          <w:sz w:val="22"/>
          <w:szCs w:val="22"/>
        </w:rPr>
        <w:lastRenderedPageBreak/>
        <w:t>wymaga aby Wykonawca uzgodnił z Zamawiającym czas rozpoczęcia tych czynności oraz czas zakończenia tych czynności.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26: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wnosi, aby „czas reakcji na awarię”, był liczony od momentu potwierdzenia przez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Wykonawcę przyjęcia zgłoszenia awarii do momentu rozpoczęcia usuwania awarii przez Wykonawcę. O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momencie rozpoczęcia usuwania awarii Wykonawca będzie każdorazowo informował Zamawiającego.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Ponadto Wykonawca wnosi, aby „czas usunięcia awarii” był liczony od momentu upływu „czasu reakcji”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do momentu otrzymania od służb technicznych Wykonawcy informacji o usunięciu awarii i potwierdzenia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jej usunięcia przez Zamawiającego. Tym samym Wykonawca wnosi, aby „czas reakcji” na awarię nie był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wliczony do „czasu usunięcia awarii”, gdyż jest on niezbędny do analizy sytuacji powodującej awarię i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dokonanie odpowiednich przygotowań do usunięcia awarii.”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nie wyraża zgody na wprowadzenie „czasu reakcji na awarię” jest to dodatkowy czas, który wydłuża niedostępność łącza w danej lokalizacji.</w:t>
      </w:r>
    </w:p>
    <w:p w:rsidR="006A5454" w:rsidRPr="00D86117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27: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Prosimy o potwierdzenie, że w przypadku przerwy trwającej ponad 24 godziny, każda kolejna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rozpoczęta godzina nie liczy się jako pełna doba - § 5 ust 2 Umowy.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nie wyraża takiej zgody.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28:</w:t>
      </w:r>
    </w:p>
    <w:p w:rsidR="006A5454" w:rsidRPr="00D86117" w:rsidRDefault="006A5454" w:rsidP="007A29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wyjaśnienie co oznacza likwidacja łącza? ile maksymalnie łącz w okresie</w:t>
      </w:r>
      <w:r w:rsidR="007A2942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obowiązywania umowy Zamawiający może zlikwidować? § 6 ust 10 Umowy</w:t>
      </w:r>
      <w:r w:rsidR="007A2942" w:rsidRPr="00D86117">
        <w:rPr>
          <w:rFonts w:asciiTheme="minorHAnsi" w:hAnsiTheme="minorHAnsi" w:cstheme="minorHAnsi"/>
          <w:sz w:val="22"/>
          <w:szCs w:val="22"/>
        </w:rPr>
        <w:t>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przypadku zamknięcia komisariatu lub posterunku policji Zamawiający będzie musiał dokonać likwidacji łącza. Zamawiający na chwilę obecną nie przewiduje likwidacji łączy.</w:t>
      </w:r>
    </w:p>
    <w:p w:rsidR="00B42115" w:rsidRPr="00B42115" w:rsidRDefault="00B42115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29: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 o wyjaśnienie co to oznacza zmiana relacji łącza? ile maksymalnie łącz w okresie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obowiązywania umowy Zamawiający zamierza zmienić? § 6 ust 11 Umowy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informuje, że zmiana relacji łącza wiąże się ze zmianą lokalizacji placówki Policji w granicach administracyjnych danej miejscowości (np. nowy posterunek / komisariat przy innej ulicy). Zamawiający na chwilę obecną nie przewiduje zmian relacji łączy.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30: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Wykonawca wnosi, że wymagania w - § 9 ust 6 i 7 Umowy – Zamawiający zastrzega sobie możliwość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rozwiązania umowy w całości bez konsekwencji finansowych w sytuacji likwidacji danej jednostki, lub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niemożnością jej przeniesienia do innej lokalizacji lub decentralizacji wszystkich jednostek Policji – nie są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zgodne z PZP i na wykonawcy nie może ciążyć takie ryzyko finansowe – wnosimy o wykreślenia tego</w:t>
      </w:r>
      <w:r w:rsidR="00BB11D3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wymagania.</w:t>
      </w:r>
    </w:p>
    <w:p w:rsidR="006A5454" w:rsidRPr="00D86117" w:rsidRDefault="006A5454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 xml:space="preserve">Zamawiający w - § 9 ust 6 zastrzega sobie możliwość wypowiedzenia umowy, bez konsekwencji finansowych dla Zamawiającego z 30 dniowym okresem wypowiedzenia w przypadku likwidacji jednostki lub jej przeniesienia do innej lokalizacji, jeżeli nie będzie możliwe przeniesienie zakończenia łącza do nowej lokalizacji, bez ponoszenia kosztów przez Zamawiającego w zakresie </w:t>
      </w:r>
      <w:r w:rsidRPr="00D86117">
        <w:rPr>
          <w:rFonts w:asciiTheme="minorHAnsi" w:hAnsiTheme="minorHAnsi" w:cstheme="minorHAnsi"/>
          <w:b/>
          <w:bCs/>
          <w:sz w:val="22"/>
          <w:szCs w:val="22"/>
          <w:u w:val="single"/>
        </w:rPr>
        <w:t>danego łącza</w:t>
      </w:r>
      <w:r w:rsidRPr="00D8611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Zamawiający w - § 9 ust 7 określił  możliwość wypowiedzenia umowy z trzy miesięcznym okresem wypowiedzenia w przypadku centralizacji dzierżawy łączy telekomunikacyjnych w jednostkach Policji całego kraju przez Komendę Główną Policji. Zamawiający nie zna daty centralizacji usługi dzierżawy łączy telekomunikacyjnych w  jednostkach Policji całego kraju przez Komendę Główną Policji.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 xml:space="preserve">Zamawiający informuje, że Wykonawcy będzie przysługiwać prawo do wynagrodzenia z tytułu wykonania części Umowy. Jednocześnie Zamawiający informuje, że dokona zmiany w § 9 p 4 z: 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przypadkach okoliczności opisanych w ust. 1, 2 i 3, Wykonawca może żądać wyłącznie wynagrodzenia z tytułu wykonania części Umowy.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na nowy zapis, który otrzyma brzmienie:</w:t>
      </w:r>
    </w:p>
    <w:p w:rsidR="006A5454" w:rsidRPr="00D86117" w:rsidRDefault="006A5454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przypadkach okoliczności opisanych w ust. 1, 2, 3</w:t>
      </w:r>
      <w:r w:rsidR="006F0961" w:rsidRPr="00D86117">
        <w:rPr>
          <w:rFonts w:asciiTheme="minorHAnsi" w:hAnsiTheme="minorHAnsi" w:cstheme="minorHAnsi"/>
          <w:sz w:val="22"/>
          <w:szCs w:val="22"/>
        </w:rPr>
        <w:t>, 6</w:t>
      </w:r>
      <w:r w:rsidRPr="00D86117">
        <w:rPr>
          <w:rFonts w:asciiTheme="minorHAnsi" w:hAnsiTheme="minorHAnsi" w:cstheme="minorHAnsi"/>
          <w:sz w:val="22"/>
          <w:szCs w:val="22"/>
        </w:rPr>
        <w:t xml:space="preserve"> i 7, Wykonawca może żądać wyłącznie wynagrodzenia z tytułu wykonania części Umowy.</w:t>
      </w:r>
    </w:p>
    <w:p w:rsidR="00BB11D3" w:rsidRPr="00D86117" w:rsidRDefault="00BB11D3" w:rsidP="00BB11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B11D3" w:rsidRPr="00D86117" w:rsidRDefault="00BB11D3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117">
        <w:rPr>
          <w:rFonts w:asciiTheme="minorHAnsi" w:hAnsiTheme="minorHAnsi" w:cstheme="minorHAnsi"/>
          <w:b/>
          <w:sz w:val="22"/>
          <w:szCs w:val="22"/>
        </w:rPr>
        <w:t>Pytanie 31:</w:t>
      </w:r>
    </w:p>
    <w:p w:rsidR="00BB11D3" w:rsidRPr="00D86117" w:rsidRDefault="00BB11D3" w:rsidP="00BB11D3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117">
        <w:rPr>
          <w:rFonts w:asciiTheme="minorHAnsi" w:hAnsiTheme="minorHAnsi" w:cstheme="minorHAnsi"/>
          <w:sz w:val="22"/>
          <w:szCs w:val="22"/>
        </w:rPr>
        <w:t>W związku z brakiem odpowiedzi na kluczowe pytania do specyfikacji SWZ , zamawiający aby móc</w:t>
      </w:r>
      <w:r w:rsidR="006802BF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poprawnie skalkulować ofertę, zwraca się o przesunięcie terminu składania ofert o 21 dni od daty</w:t>
      </w:r>
      <w:r w:rsidR="006802BF" w:rsidRPr="00D86117">
        <w:rPr>
          <w:rFonts w:asciiTheme="minorHAnsi" w:hAnsiTheme="minorHAnsi" w:cstheme="minorHAnsi"/>
          <w:sz w:val="22"/>
          <w:szCs w:val="22"/>
        </w:rPr>
        <w:t xml:space="preserve"> </w:t>
      </w:r>
      <w:r w:rsidRPr="00D86117">
        <w:rPr>
          <w:rFonts w:asciiTheme="minorHAnsi" w:hAnsiTheme="minorHAnsi" w:cstheme="minorHAnsi"/>
          <w:sz w:val="22"/>
          <w:szCs w:val="22"/>
        </w:rPr>
        <w:t>odpowiedzi na zadane pytania</w:t>
      </w:r>
    </w:p>
    <w:p w:rsidR="00BB11D3" w:rsidRPr="00B42115" w:rsidRDefault="00BB11D3" w:rsidP="00B4211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11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5F7BF5" w:rsidRPr="00B42115" w:rsidRDefault="005F7BF5" w:rsidP="00B42115">
      <w:pPr>
        <w:autoSpaceDE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2115">
        <w:rPr>
          <w:rFonts w:asciiTheme="minorHAnsi" w:hAnsiTheme="minorHAnsi" w:cstheme="minorHAnsi"/>
          <w:sz w:val="22"/>
          <w:szCs w:val="22"/>
        </w:rPr>
        <w:t xml:space="preserve">Zamawiający informuje, nie wyraża zgody na przesunięcie terminu składania ofert o 21 dni od daty odpowiedzi na zadane pytania. </w:t>
      </w:r>
      <w:r w:rsidR="000A3FE6" w:rsidRPr="00B42115">
        <w:rPr>
          <w:rFonts w:asciiTheme="minorHAnsi" w:hAnsiTheme="minorHAnsi" w:cstheme="minorHAnsi"/>
          <w:sz w:val="22"/>
          <w:szCs w:val="22"/>
        </w:rPr>
        <w:t xml:space="preserve">Natomiast </w:t>
      </w:r>
      <w:r w:rsidRPr="00B42115">
        <w:rPr>
          <w:rFonts w:asciiTheme="minorHAnsi" w:hAnsiTheme="minorHAnsi" w:cstheme="minorHAnsi"/>
          <w:sz w:val="22"/>
          <w:szCs w:val="22"/>
        </w:rPr>
        <w:t>Zamawiający przesu</w:t>
      </w:r>
      <w:r w:rsidR="000A3FE6" w:rsidRPr="00B42115">
        <w:rPr>
          <w:rFonts w:asciiTheme="minorHAnsi" w:hAnsiTheme="minorHAnsi" w:cstheme="minorHAnsi"/>
          <w:sz w:val="22"/>
          <w:szCs w:val="22"/>
        </w:rPr>
        <w:t>wa</w:t>
      </w:r>
      <w:r w:rsidRPr="00B42115">
        <w:rPr>
          <w:rFonts w:asciiTheme="minorHAnsi" w:hAnsiTheme="minorHAnsi" w:cstheme="minorHAnsi"/>
          <w:sz w:val="22"/>
          <w:szCs w:val="22"/>
        </w:rPr>
        <w:t xml:space="preserve"> termin składania ofert do dnia 29.10.2024 r. do godziny 11:00.</w:t>
      </w:r>
    </w:p>
    <w:p w:rsidR="00B42115" w:rsidRDefault="00B42115" w:rsidP="005F7BF5">
      <w:pPr>
        <w:autoSpaceDE w:val="0"/>
        <w:spacing w:after="120"/>
        <w:jc w:val="both"/>
        <w:rPr>
          <w:rFonts w:asciiTheme="minorHAnsi" w:hAnsiTheme="minorHAnsi" w:cstheme="minorHAnsi"/>
          <w:b/>
        </w:rPr>
      </w:pPr>
    </w:p>
    <w:p w:rsidR="00B42115" w:rsidRDefault="00B42115" w:rsidP="005F7BF5">
      <w:pPr>
        <w:autoSpaceDE w:val="0"/>
        <w:spacing w:after="120"/>
        <w:jc w:val="both"/>
        <w:rPr>
          <w:rFonts w:asciiTheme="minorHAnsi" w:hAnsiTheme="minorHAnsi" w:cstheme="minorHAnsi"/>
          <w:b/>
        </w:rPr>
      </w:pPr>
    </w:p>
    <w:p w:rsidR="00B42115" w:rsidRDefault="00B42115" w:rsidP="005F7BF5">
      <w:pPr>
        <w:autoSpaceDE w:val="0"/>
        <w:spacing w:after="120"/>
        <w:jc w:val="both"/>
        <w:rPr>
          <w:rFonts w:asciiTheme="minorHAnsi" w:hAnsiTheme="minorHAnsi" w:cstheme="minorHAnsi"/>
          <w:b/>
        </w:rPr>
      </w:pPr>
    </w:p>
    <w:p w:rsidR="005F7BF5" w:rsidRPr="00D86117" w:rsidRDefault="005F7BF5" w:rsidP="005F7BF5">
      <w:pPr>
        <w:autoSpaceDE w:val="0"/>
        <w:spacing w:after="120"/>
        <w:jc w:val="both"/>
        <w:rPr>
          <w:rFonts w:asciiTheme="minorHAnsi" w:hAnsiTheme="minorHAnsi" w:cstheme="minorHAnsi"/>
          <w:b/>
        </w:rPr>
      </w:pPr>
      <w:r w:rsidRPr="00D86117">
        <w:rPr>
          <w:rFonts w:asciiTheme="minorHAnsi" w:hAnsiTheme="minorHAnsi" w:cstheme="minorHAnsi"/>
          <w:b/>
        </w:rPr>
        <w:t>W związku z udzielonymi odpowiedziami Zamawiający modyfikuje:</w:t>
      </w:r>
    </w:p>
    <w:p w:rsidR="005F7BF5" w:rsidRPr="00D86117" w:rsidRDefault="005F7BF5" w:rsidP="005F7BF5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D86117">
        <w:rPr>
          <w:rFonts w:asciiTheme="minorHAnsi" w:hAnsiTheme="minorHAnsi" w:cstheme="minorHAnsi"/>
          <w:b/>
        </w:rPr>
        <w:t>treść ust. 1 Rozdziału XVI Specyfikacji Warunków Zamówienia, który po modyfikacji otrzymuje brzmienie:</w:t>
      </w:r>
    </w:p>
    <w:p w:rsidR="005F7BF5" w:rsidRPr="00D86117" w:rsidRDefault="005F7BF5" w:rsidP="005F7BF5">
      <w:pPr>
        <w:spacing w:after="240"/>
        <w:ind w:left="426"/>
        <w:jc w:val="both"/>
        <w:rPr>
          <w:rFonts w:asciiTheme="minorHAnsi" w:hAnsiTheme="minorHAnsi" w:cstheme="minorHAnsi"/>
        </w:rPr>
      </w:pPr>
      <w:r w:rsidRPr="00D86117">
        <w:rPr>
          <w:rFonts w:asciiTheme="minorHAnsi" w:hAnsiTheme="minorHAnsi" w:cstheme="minorHAnsi"/>
        </w:rPr>
        <w:t xml:space="preserve">„1. </w:t>
      </w:r>
      <w:r w:rsidRPr="00D86117">
        <w:rPr>
          <w:rFonts w:asciiTheme="minorHAnsi" w:hAnsiTheme="minorHAnsi" w:cstheme="minorHAnsi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D86117">
        <w:rPr>
          <w:rFonts w:asciiTheme="minorHAnsi" w:hAnsiTheme="minorHAnsi" w:cstheme="minorHAnsi"/>
          <w:b/>
          <w:szCs w:val="20"/>
        </w:rPr>
        <w:t xml:space="preserve">90 dni, </w:t>
      </w:r>
      <w:r w:rsidRPr="00D86117">
        <w:rPr>
          <w:rFonts w:asciiTheme="minorHAnsi" w:hAnsiTheme="minorHAnsi" w:cstheme="minorHAnsi"/>
          <w:szCs w:val="20"/>
        </w:rPr>
        <w:t xml:space="preserve">tj. do dnia </w:t>
      </w:r>
      <w:r w:rsidRPr="00D86117">
        <w:rPr>
          <w:rFonts w:asciiTheme="minorHAnsi" w:hAnsiTheme="minorHAnsi" w:cstheme="minorHAnsi"/>
          <w:b/>
          <w:szCs w:val="20"/>
        </w:rPr>
        <w:t xml:space="preserve">26.01.2025 </w:t>
      </w:r>
      <w:r w:rsidRPr="00D86117">
        <w:rPr>
          <w:rFonts w:asciiTheme="minorHAnsi" w:hAnsiTheme="minorHAnsi" w:cstheme="minorHAnsi"/>
          <w:b/>
        </w:rPr>
        <w:t>r.”.</w:t>
      </w:r>
    </w:p>
    <w:p w:rsidR="005F7BF5" w:rsidRPr="00D86117" w:rsidRDefault="005F7BF5" w:rsidP="005F7BF5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D86117">
        <w:rPr>
          <w:rFonts w:asciiTheme="minorHAnsi" w:hAnsiTheme="minorHAnsi" w:cstheme="minorHAnsi"/>
        </w:rPr>
        <w:t xml:space="preserve"> </w:t>
      </w:r>
      <w:r w:rsidRPr="00D86117">
        <w:rPr>
          <w:rFonts w:asciiTheme="minorHAnsi" w:hAnsiTheme="minorHAnsi" w:cstheme="minorHAnsi"/>
          <w:b/>
        </w:rPr>
        <w:t>treść ust. 1 Rozdziału XVII Specyfikacji Warunków Zamówienia, który po modyfikacji otrzymuje brzmienie:</w:t>
      </w:r>
    </w:p>
    <w:p w:rsidR="005F7BF5" w:rsidRPr="00D86117" w:rsidRDefault="005F7BF5" w:rsidP="005F7BF5">
      <w:pPr>
        <w:spacing w:after="240"/>
        <w:ind w:left="426"/>
        <w:jc w:val="both"/>
        <w:rPr>
          <w:rFonts w:asciiTheme="minorHAnsi" w:hAnsiTheme="minorHAnsi" w:cstheme="minorHAnsi"/>
        </w:rPr>
      </w:pPr>
      <w:r w:rsidRPr="00D86117">
        <w:rPr>
          <w:rFonts w:asciiTheme="minorHAnsi" w:hAnsiTheme="minorHAnsi" w:cstheme="minorHAnsi"/>
        </w:rPr>
        <w:t xml:space="preserve">„1. Ofertę należy złożyć za pośrednictwem </w:t>
      </w:r>
      <w:hyperlink r:id="rId8">
        <w:r w:rsidRPr="00D86117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D86117">
        <w:rPr>
          <w:rFonts w:asciiTheme="minorHAnsi" w:hAnsiTheme="minorHAnsi" w:cstheme="minorHAnsi"/>
        </w:rPr>
        <w:t xml:space="preserve"> </w:t>
      </w:r>
      <w:r w:rsidRPr="00D86117">
        <w:rPr>
          <w:rFonts w:asciiTheme="minorHAnsi" w:hAnsiTheme="minorHAnsi" w:cstheme="minorHAnsi"/>
          <w:b/>
        </w:rPr>
        <w:t>do dnia 29.10.2024</w:t>
      </w:r>
      <w:r w:rsidRPr="00D86117">
        <w:rPr>
          <w:rFonts w:asciiTheme="minorHAnsi" w:hAnsiTheme="minorHAnsi" w:cstheme="minorHAnsi"/>
          <w:caps/>
        </w:rPr>
        <w:t xml:space="preserve"> </w:t>
      </w:r>
      <w:r w:rsidRPr="00D86117">
        <w:rPr>
          <w:rFonts w:asciiTheme="minorHAnsi" w:hAnsiTheme="minorHAnsi" w:cstheme="minorHAnsi"/>
          <w:b/>
        </w:rPr>
        <w:t xml:space="preserve">r. do godziny </w:t>
      </w:r>
      <w:r w:rsidRPr="00D86117">
        <w:rPr>
          <w:rFonts w:asciiTheme="minorHAnsi" w:hAnsiTheme="minorHAnsi" w:cstheme="minorHAnsi"/>
          <w:b/>
          <w:bCs/>
          <w:caps/>
        </w:rPr>
        <w:t>10:</w:t>
      </w:r>
      <w:r w:rsidRPr="00D86117">
        <w:rPr>
          <w:rFonts w:asciiTheme="minorHAnsi" w:hAnsiTheme="minorHAnsi" w:cstheme="minorHAnsi"/>
          <w:b/>
        </w:rPr>
        <w:t>30</w:t>
      </w:r>
      <w:r w:rsidRPr="00D86117">
        <w:rPr>
          <w:rFonts w:asciiTheme="minorHAnsi" w:hAnsiTheme="minorHAnsi" w:cstheme="minorHAnsi"/>
        </w:rPr>
        <w:t>”.</w:t>
      </w:r>
    </w:p>
    <w:p w:rsidR="005F7BF5" w:rsidRPr="00D86117" w:rsidRDefault="005F7BF5" w:rsidP="005F7BF5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D86117">
        <w:rPr>
          <w:rFonts w:asciiTheme="minorHAnsi" w:hAnsiTheme="minorHAnsi" w:cstheme="minorHAnsi"/>
          <w:b/>
        </w:rPr>
        <w:t>treść ust. 6 Rozdziału XVII Specyfikacji Warunków Zamówienia, który po modyfikacji otrzymuje brzmienie:</w:t>
      </w:r>
    </w:p>
    <w:p w:rsidR="005F7BF5" w:rsidRPr="00D86117" w:rsidRDefault="005F7BF5" w:rsidP="005F7BF5">
      <w:pPr>
        <w:autoSpaceDE w:val="0"/>
        <w:spacing w:after="120"/>
        <w:jc w:val="both"/>
        <w:rPr>
          <w:rFonts w:asciiTheme="minorHAnsi" w:hAnsiTheme="minorHAnsi" w:cstheme="minorHAnsi"/>
        </w:rPr>
      </w:pPr>
      <w:r w:rsidRPr="00D86117">
        <w:rPr>
          <w:rFonts w:asciiTheme="minorHAnsi" w:hAnsiTheme="minorHAnsi" w:cstheme="minorHAnsi"/>
        </w:rPr>
        <w:t xml:space="preserve">„6. Otwarcie ofert nastąpi w dniu </w:t>
      </w:r>
      <w:r w:rsidRPr="00D86117">
        <w:rPr>
          <w:rFonts w:asciiTheme="minorHAnsi" w:hAnsiTheme="minorHAnsi" w:cstheme="minorHAnsi"/>
          <w:b/>
        </w:rPr>
        <w:t>29.10.2024</w:t>
      </w:r>
      <w:r w:rsidRPr="00D86117">
        <w:rPr>
          <w:rFonts w:asciiTheme="minorHAnsi" w:hAnsiTheme="minorHAnsi" w:cstheme="minorHAnsi"/>
          <w:caps/>
        </w:rPr>
        <w:t xml:space="preserve"> </w:t>
      </w:r>
      <w:r w:rsidRPr="00D86117">
        <w:rPr>
          <w:rFonts w:asciiTheme="minorHAnsi" w:hAnsiTheme="minorHAnsi" w:cstheme="minorHAnsi"/>
          <w:b/>
        </w:rPr>
        <w:t xml:space="preserve">r. o godzinie 11:00. </w:t>
      </w:r>
      <w:r w:rsidRPr="00D86117">
        <w:rPr>
          <w:rFonts w:asciiTheme="minorHAnsi" w:hAnsiTheme="minorHAnsi" w:cstheme="minorHAnsi"/>
        </w:rPr>
        <w:t>Otwarcie ofert jest niejawne”.</w:t>
      </w:r>
    </w:p>
    <w:p w:rsidR="005E4800" w:rsidRDefault="005E4800" w:rsidP="00BB11D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A5454" w:rsidRPr="005E4800" w:rsidRDefault="006A5454" w:rsidP="00BB11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E4800">
        <w:rPr>
          <w:rFonts w:asciiTheme="minorHAnsi" w:hAnsiTheme="minorHAnsi" w:cstheme="minorHAnsi"/>
          <w:b/>
        </w:rPr>
        <w:t>W związku z powyższym Zamawiający modyfikuje:</w:t>
      </w:r>
    </w:p>
    <w:p w:rsidR="006A5454" w:rsidRPr="005E4800" w:rsidRDefault="006A5454" w:rsidP="00BB11D3">
      <w:pPr>
        <w:numPr>
          <w:ilvl w:val="0"/>
          <w:numId w:val="20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5E4800">
        <w:rPr>
          <w:rFonts w:asciiTheme="minorHAnsi" w:hAnsiTheme="minorHAnsi" w:cstheme="minorHAnsi"/>
          <w:b/>
        </w:rPr>
        <w:t xml:space="preserve">treść załącznika nr 1 do Specyfikacji Warunków Zamówienia (Opis przedmiotu zamówienia). Aktualnie obowiązujący załącznik nr 1 do SWZ został zamieszczony na stronie internetowej prowadzonego postępowania w dniu </w:t>
      </w:r>
      <w:r w:rsidR="00D86117" w:rsidRPr="005E4800">
        <w:rPr>
          <w:rFonts w:asciiTheme="minorHAnsi" w:hAnsiTheme="minorHAnsi" w:cstheme="minorHAnsi"/>
          <w:b/>
        </w:rPr>
        <w:t>21</w:t>
      </w:r>
      <w:r w:rsidRPr="005E4800">
        <w:rPr>
          <w:rFonts w:asciiTheme="minorHAnsi" w:hAnsiTheme="minorHAnsi" w:cstheme="minorHAnsi"/>
          <w:b/>
        </w:rPr>
        <w:t>.10.2024 r.</w:t>
      </w:r>
    </w:p>
    <w:p w:rsidR="00BB11D3" w:rsidRPr="005E4800" w:rsidRDefault="00BB11D3" w:rsidP="00BB11D3">
      <w:pPr>
        <w:numPr>
          <w:ilvl w:val="0"/>
          <w:numId w:val="20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5E4800">
        <w:rPr>
          <w:rFonts w:asciiTheme="minorHAnsi" w:hAnsiTheme="minorHAnsi" w:cstheme="minorHAnsi"/>
          <w:b/>
        </w:rPr>
        <w:t xml:space="preserve">treść załącznika nr 6 do Specyfikacji Warunków Zamówienia (projekt umowy). Aktualnie obowiązujący załącznik nr 6 do SWZ został zamieszczony na stronie internetowej prowadzonego postępowania w dniu </w:t>
      </w:r>
      <w:r w:rsidR="00D86117" w:rsidRPr="005E4800">
        <w:rPr>
          <w:rFonts w:asciiTheme="minorHAnsi" w:hAnsiTheme="minorHAnsi" w:cstheme="minorHAnsi"/>
          <w:b/>
        </w:rPr>
        <w:t>21</w:t>
      </w:r>
      <w:r w:rsidRPr="005E4800">
        <w:rPr>
          <w:rFonts w:asciiTheme="minorHAnsi" w:hAnsiTheme="minorHAnsi" w:cstheme="minorHAnsi"/>
          <w:b/>
        </w:rPr>
        <w:t>.10.2024 r.</w:t>
      </w:r>
    </w:p>
    <w:p w:rsidR="006A5454" w:rsidRPr="005E4800" w:rsidRDefault="006A5454" w:rsidP="00BB11D3">
      <w:pPr>
        <w:spacing w:line="360" w:lineRule="auto"/>
        <w:ind w:left="426"/>
        <w:jc w:val="both"/>
        <w:rPr>
          <w:rFonts w:asciiTheme="minorHAnsi" w:hAnsiTheme="minorHAnsi" w:cstheme="minorHAnsi"/>
          <w:b/>
        </w:rPr>
      </w:pPr>
    </w:p>
    <w:p w:rsidR="006A5454" w:rsidRPr="005E4800" w:rsidRDefault="006A5454" w:rsidP="00BB11D3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>Na stronie prowadzonego postępowania</w:t>
      </w:r>
      <w:r w:rsidR="005F7BF5" w:rsidRPr="005E4800">
        <w:rPr>
          <w:rFonts w:asciiTheme="minorHAnsi" w:hAnsiTheme="minorHAnsi" w:cstheme="minorHAnsi"/>
        </w:rPr>
        <w:t xml:space="preserve"> </w:t>
      </w:r>
      <w:r w:rsidRPr="005E4800">
        <w:rPr>
          <w:rFonts w:asciiTheme="minorHAnsi" w:hAnsiTheme="minorHAnsi" w:cstheme="minorHAnsi"/>
        </w:rPr>
        <w:t xml:space="preserve"> https://platformazakupowa.pl/transakcja/983616</w:t>
      </w:r>
    </w:p>
    <w:p w:rsidR="006A5454" w:rsidRPr="005E4800" w:rsidRDefault="006A5454" w:rsidP="00BB11D3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>zostaje zamieszczona:</w:t>
      </w:r>
    </w:p>
    <w:p w:rsidR="006A5454" w:rsidRPr="005E4800" w:rsidRDefault="006A5454" w:rsidP="00BB11D3">
      <w:pPr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>Wersja elektroniczna niniejszego pisma</w:t>
      </w:r>
    </w:p>
    <w:p w:rsidR="006A5454" w:rsidRPr="005E4800" w:rsidRDefault="006A5454" w:rsidP="00BB11D3">
      <w:pPr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>Załącznik nr 1 do SWZ (</w:t>
      </w:r>
      <w:r w:rsidR="005F7BF5" w:rsidRPr="005E4800">
        <w:rPr>
          <w:rFonts w:asciiTheme="minorHAnsi" w:hAnsiTheme="minorHAnsi" w:cstheme="minorHAnsi"/>
        </w:rPr>
        <w:t>o</w:t>
      </w:r>
      <w:r w:rsidRPr="005E4800">
        <w:rPr>
          <w:rFonts w:asciiTheme="minorHAnsi" w:hAnsiTheme="minorHAnsi" w:cstheme="minorHAnsi"/>
        </w:rPr>
        <w:t xml:space="preserve">pis przedmiotu zamówienia) – zmiana z dnia </w:t>
      </w:r>
      <w:r w:rsidR="005F7BF5" w:rsidRPr="005E4800">
        <w:rPr>
          <w:rFonts w:asciiTheme="minorHAnsi" w:hAnsiTheme="minorHAnsi" w:cstheme="minorHAnsi"/>
        </w:rPr>
        <w:t>21</w:t>
      </w:r>
      <w:r w:rsidRPr="005E4800">
        <w:rPr>
          <w:rFonts w:asciiTheme="minorHAnsi" w:hAnsiTheme="minorHAnsi" w:cstheme="minorHAnsi"/>
        </w:rPr>
        <w:t>.10.2024 r.</w:t>
      </w:r>
    </w:p>
    <w:p w:rsidR="00BB11D3" w:rsidRPr="005E4800" w:rsidRDefault="00BB11D3" w:rsidP="00BB11D3">
      <w:pPr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 xml:space="preserve">Załącznik nr 6 do SWZ (projekt umowy) – zmiana z dnia </w:t>
      </w:r>
      <w:r w:rsidR="005F7BF5" w:rsidRPr="005E4800">
        <w:rPr>
          <w:rFonts w:asciiTheme="minorHAnsi" w:hAnsiTheme="minorHAnsi" w:cstheme="minorHAnsi"/>
        </w:rPr>
        <w:t>21</w:t>
      </w:r>
      <w:r w:rsidRPr="005E4800">
        <w:rPr>
          <w:rFonts w:asciiTheme="minorHAnsi" w:hAnsiTheme="minorHAnsi" w:cstheme="minorHAnsi"/>
        </w:rPr>
        <w:t>.10.2024 r.</w:t>
      </w:r>
    </w:p>
    <w:p w:rsidR="005F7BF5" w:rsidRPr="005E4800" w:rsidRDefault="005F7BF5" w:rsidP="005F7BF5">
      <w:pPr>
        <w:numPr>
          <w:ilvl w:val="0"/>
          <w:numId w:val="19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5E4800">
        <w:rPr>
          <w:rFonts w:asciiTheme="minorHAnsi" w:hAnsiTheme="minorHAnsi" w:cstheme="minorHAnsi"/>
        </w:rPr>
        <w:t>Ogłoszenie o zmianie.</w:t>
      </w:r>
    </w:p>
    <w:p w:rsidR="000E7506" w:rsidRPr="00D86117" w:rsidRDefault="000E7506" w:rsidP="00BB11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38EE" w:rsidRPr="009A2B02" w:rsidRDefault="005B38EE" w:rsidP="005B38EE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KOMENDANT WOJEWÓDZKI </w:t>
      </w:r>
      <w:r w:rsidRPr="009A2B02">
        <w:rPr>
          <w:rFonts w:ascii="Calibri" w:hAnsi="Calibri" w:cs="Calibri"/>
          <w:sz w:val="20"/>
          <w:szCs w:val="20"/>
          <w:lang w:eastAsia="ar-SA"/>
        </w:rPr>
        <w:t>POLICJI</w:t>
      </w:r>
    </w:p>
    <w:p w:rsidR="005B38EE" w:rsidRPr="009A2B02" w:rsidRDefault="005B38EE" w:rsidP="005B38EE">
      <w:pPr>
        <w:suppressAutoHyphens/>
        <w:autoSpaceDE w:val="0"/>
        <w:autoSpaceDN w:val="0"/>
        <w:adjustRightInd w:val="0"/>
        <w:spacing w:line="276" w:lineRule="auto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bookmarkStart w:id="0" w:name="_GoBack"/>
      <w:r w:rsidRPr="009A2B02">
        <w:rPr>
          <w:rFonts w:ascii="Calibri" w:hAnsi="Calibri" w:cs="Calibri"/>
          <w:sz w:val="20"/>
          <w:szCs w:val="20"/>
          <w:lang w:eastAsia="ar-SA"/>
        </w:rPr>
        <w:t xml:space="preserve">W </w:t>
      </w:r>
      <w:bookmarkEnd w:id="0"/>
      <w:r w:rsidRPr="009A2B02">
        <w:rPr>
          <w:rFonts w:ascii="Calibri" w:hAnsi="Calibri" w:cs="Calibri"/>
          <w:sz w:val="20"/>
          <w:szCs w:val="20"/>
          <w:lang w:eastAsia="ar-SA"/>
        </w:rPr>
        <w:t>KIELCACH</w:t>
      </w:r>
    </w:p>
    <w:p w:rsidR="000E7506" w:rsidRPr="00D86117" w:rsidRDefault="005B38EE" w:rsidP="005B38EE">
      <w:pPr>
        <w:spacing w:line="360" w:lineRule="auto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         </w:t>
      </w:r>
      <w:r w:rsidRPr="009A2B02">
        <w:rPr>
          <w:rFonts w:ascii="Calibri" w:hAnsi="Calibri" w:cs="Calibri"/>
          <w:sz w:val="20"/>
          <w:szCs w:val="20"/>
          <w:lang w:eastAsia="ar-SA"/>
        </w:rPr>
        <w:t xml:space="preserve">insp. </w:t>
      </w:r>
      <w:r>
        <w:rPr>
          <w:rFonts w:ascii="Calibri" w:hAnsi="Calibri" w:cs="Calibri"/>
          <w:sz w:val="20"/>
          <w:szCs w:val="20"/>
          <w:lang w:eastAsia="ar-SA"/>
        </w:rPr>
        <w:t>Grzegorz NAPIÓRKOWSKI</w:t>
      </w:r>
    </w:p>
    <w:sectPr w:rsidR="000E7506" w:rsidRPr="00D86117" w:rsidSect="006802B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1361" w:bottom="1134" w:left="1361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D2" w:rsidRDefault="001812D2">
      <w:r>
        <w:separator/>
      </w:r>
    </w:p>
  </w:endnote>
  <w:endnote w:type="continuationSeparator" w:id="0">
    <w:p w:rsidR="001812D2" w:rsidRDefault="001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1" w:rsidRDefault="006F09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0961" w:rsidRDefault="006F09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1" w:rsidRPr="00F0100F" w:rsidRDefault="006F0961">
    <w:pPr>
      <w:pStyle w:val="Stopka"/>
      <w:framePr w:wrap="around" w:vAnchor="text" w:hAnchor="margin" w:xAlign="right" w:y="1"/>
      <w:rPr>
        <w:rStyle w:val="Numerstrony"/>
      </w:rPr>
    </w:pPr>
  </w:p>
  <w:p w:rsidR="006F0961" w:rsidRPr="00F0100F" w:rsidRDefault="006F0961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81DD54" wp14:editId="6814CB56">
              <wp:simplePos x="0" y="0"/>
              <wp:positionH relativeFrom="column">
                <wp:posOffset>5080</wp:posOffset>
              </wp:positionH>
              <wp:positionV relativeFrom="paragraph">
                <wp:posOffset>98424</wp:posOffset>
              </wp:positionV>
              <wp:extent cx="5769610" cy="0"/>
              <wp:effectExtent l="0" t="0" r="2159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">
              <o:lock v:ext="edit" shapetype="f"/>
            </v:line>
          </w:pict>
        </mc:Fallback>
      </mc:AlternateContent>
    </w:r>
  </w:p>
  <w:p w:rsidR="006F0961" w:rsidRPr="00F0100F" w:rsidRDefault="006F0961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6F0961" w:rsidRDefault="006F0961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6F0961" w:rsidRDefault="006F0961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1" w:rsidRDefault="006F0961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1AE802" wp14:editId="48438079">
              <wp:simplePos x="0" y="0"/>
              <wp:positionH relativeFrom="column">
                <wp:posOffset>5080</wp:posOffset>
              </wp:positionH>
              <wp:positionV relativeFrom="paragraph">
                <wp:posOffset>98425</wp:posOffset>
              </wp:positionV>
              <wp:extent cx="5769610" cy="0"/>
              <wp:effectExtent l="5080" t="12700" r="6985" b="635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yYJAIAADQ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"/>
          </w:pict>
        </mc:Fallback>
      </mc:AlternateContent>
    </w:r>
  </w:p>
  <w:p w:rsidR="006F0961" w:rsidRPr="00F0100F" w:rsidRDefault="006F0961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6F0961" w:rsidRPr="00D32FAD" w:rsidRDefault="006F0961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D2" w:rsidRDefault="001812D2">
      <w:r>
        <w:separator/>
      </w:r>
    </w:p>
  </w:footnote>
  <w:footnote w:type="continuationSeparator" w:id="0">
    <w:p w:rsidR="001812D2" w:rsidRDefault="0018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1" w:rsidRPr="00CB4652" w:rsidRDefault="006F0961" w:rsidP="000C6626">
    <w:pPr>
      <w:ind w:left="113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0C98AB2" wp14:editId="4EDA8A15">
          <wp:simplePos x="0" y="0"/>
          <wp:positionH relativeFrom="column">
            <wp:posOffset>718820</wp:posOffset>
          </wp:positionH>
          <wp:positionV relativeFrom="paragraph">
            <wp:posOffset>163830</wp:posOffset>
          </wp:positionV>
          <wp:extent cx="657225" cy="695325"/>
          <wp:effectExtent l="0" t="0" r="9525" b="9525"/>
          <wp:wrapNone/>
          <wp:docPr id="2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F0961" w:rsidRDefault="006F0961" w:rsidP="00D24397">
    <w:pPr>
      <w:rPr>
        <w:rFonts w:ascii="Calibri" w:hAnsi="Calibri" w:cs="Calibri"/>
        <w:b/>
      </w:rPr>
    </w:pPr>
  </w:p>
  <w:p w:rsidR="006F0961" w:rsidRDefault="006F0961" w:rsidP="00D24397">
    <w:pPr>
      <w:rPr>
        <w:rFonts w:ascii="Calibri" w:hAnsi="Calibri" w:cs="Calibri"/>
        <w:b/>
      </w:rPr>
    </w:pPr>
  </w:p>
  <w:p w:rsidR="006F0961" w:rsidRDefault="006F0961" w:rsidP="00D24397">
    <w:pPr>
      <w:rPr>
        <w:rFonts w:ascii="Calibri" w:hAnsi="Calibri" w:cs="Calibri"/>
        <w:b/>
      </w:rPr>
    </w:pPr>
  </w:p>
  <w:p w:rsidR="006F0961" w:rsidRPr="006A5454" w:rsidRDefault="006F0961" w:rsidP="00D24397">
    <w:pP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F0230B" wp14:editId="077D3304">
              <wp:simplePos x="0" y="0"/>
              <wp:positionH relativeFrom="margin">
                <wp:posOffset>-66675</wp:posOffset>
              </wp:positionH>
              <wp:positionV relativeFrom="paragraph">
                <wp:posOffset>173990</wp:posOffset>
              </wp:positionV>
              <wp:extent cx="2171700" cy="4381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961" w:rsidRPr="00814D92" w:rsidRDefault="006F0961" w:rsidP="00E307C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14D92">
                            <w:rPr>
                              <w:rFonts w:ascii="Calibri" w:hAnsi="Calibri" w:cs="Calibri"/>
                              <w:b/>
                            </w:rPr>
                            <w:t>Komendant Wojewódzki Policji w Kielcach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25pt;margin-top:13.7pt;width:171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" stroked="f">
              <v:textbox>
                <w:txbxContent>
                  <w:p w:rsidR="006F0961" w:rsidRPr="00814D92" w:rsidRDefault="006F0961" w:rsidP="00E307C6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14D92">
                      <w:rPr>
                        <w:rFonts w:ascii="Calibri" w:hAnsi="Calibri" w:cs="Calibri"/>
                        <w:b/>
                      </w:rPr>
                      <w:t>Komendant Wojewódzki Policji w Kielcach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Pr="006A5454">
      <w:rPr>
        <w:rFonts w:ascii="Calibri" w:hAnsi="Calibri" w:cs="Calibri"/>
      </w:rPr>
      <w:t>Nr postępowania 86/PN/2024</w:t>
    </w:r>
  </w:p>
  <w:p w:rsidR="006F0961" w:rsidRDefault="006F0961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832B3"/>
    <w:multiLevelType w:val="hybridMultilevel"/>
    <w:tmpl w:val="1BAAC286"/>
    <w:lvl w:ilvl="0" w:tplc="CFB857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A3D51"/>
    <w:multiLevelType w:val="hybridMultilevel"/>
    <w:tmpl w:val="143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8"/>
  </w:num>
  <w:num w:numId="5">
    <w:abstractNumId w:val="17"/>
  </w:num>
  <w:num w:numId="6">
    <w:abstractNumId w:val="12"/>
  </w:num>
  <w:num w:numId="7">
    <w:abstractNumId w:val="15"/>
  </w:num>
  <w:num w:numId="8">
    <w:abstractNumId w:val="1"/>
  </w:num>
  <w:num w:numId="9">
    <w:abstractNumId w:val="2"/>
  </w:num>
  <w:num w:numId="10">
    <w:abstractNumId w:val="18"/>
  </w:num>
  <w:num w:numId="11">
    <w:abstractNumId w:val="10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3FE6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0B5B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12D2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4004"/>
    <w:rsid w:val="00235961"/>
    <w:rsid w:val="0024027C"/>
    <w:rsid w:val="002624C5"/>
    <w:rsid w:val="00276A29"/>
    <w:rsid w:val="00296556"/>
    <w:rsid w:val="002A1178"/>
    <w:rsid w:val="002D5272"/>
    <w:rsid w:val="002D63F9"/>
    <w:rsid w:val="002E71EC"/>
    <w:rsid w:val="002F0437"/>
    <w:rsid w:val="00302B6B"/>
    <w:rsid w:val="00303147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3597F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D0708"/>
    <w:rsid w:val="003F4455"/>
    <w:rsid w:val="003F6518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5131"/>
    <w:rsid w:val="00597993"/>
    <w:rsid w:val="005A05FC"/>
    <w:rsid w:val="005B38EE"/>
    <w:rsid w:val="005C5752"/>
    <w:rsid w:val="005D3A01"/>
    <w:rsid w:val="005D670D"/>
    <w:rsid w:val="005E2AA9"/>
    <w:rsid w:val="005E4800"/>
    <w:rsid w:val="005F0E65"/>
    <w:rsid w:val="005F14DF"/>
    <w:rsid w:val="005F350F"/>
    <w:rsid w:val="005F7BF5"/>
    <w:rsid w:val="00600B9B"/>
    <w:rsid w:val="00604C8D"/>
    <w:rsid w:val="00611E78"/>
    <w:rsid w:val="00617986"/>
    <w:rsid w:val="0062180A"/>
    <w:rsid w:val="00636775"/>
    <w:rsid w:val="00637907"/>
    <w:rsid w:val="00653AC2"/>
    <w:rsid w:val="00655F03"/>
    <w:rsid w:val="006658C4"/>
    <w:rsid w:val="00675C43"/>
    <w:rsid w:val="006802BF"/>
    <w:rsid w:val="006809ED"/>
    <w:rsid w:val="00682E36"/>
    <w:rsid w:val="0068573D"/>
    <w:rsid w:val="00696AD8"/>
    <w:rsid w:val="00697ED0"/>
    <w:rsid w:val="006A0823"/>
    <w:rsid w:val="006A419C"/>
    <w:rsid w:val="006A5454"/>
    <w:rsid w:val="006A5C1A"/>
    <w:rsid w:val="006A6896"/>
    <w:rsid w:val="006B298E"/>
    <w:rsid w:val="006B3FA0"/>
    <w:rsid w:val="006B771B"/>
    <w:rsid w:val="006C1167"/>
    <w:rsid w:val="006E5E7D"/>
    <w:rsid w:val="006E6FB0"/>
    <w:rsid w:val="006F0961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56EA"/>
    <w:rsid w:val="007977C4"/>
    <w:rsid w:val="007A2942"/>
    <w:rsid w:val="007B6D17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A2A"/>
    <w:rsid w:val="008B26E2"/>
    <w:rsid w:val="008B50F1"/>
    <w:rsid w:val="008D2276"/>
    <w:rsid w:val="008D76E6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181F"/>
    <w:rsid w:val="00A1348B"/>
    <w:rsid w:val="00A13AC3"/>
    <w:rsid w:val="00A13B2E"/>
    <w:rsid w:val="00A2661E"/>
    <w:rsid w:val="00A26798"/>
    <w:rsid w:val="00A26B54"/>
    <w:rsid w:val="00A27DB7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16B21"/>
    <w:rsid w:val="00B23AA5"/>
    <w:rsid w:val="00B37072"/>
    <w:rsid w:val="00B37085"/>
    <w:rsid w:val="00B42115"/>
    <w:rsid w:val="00B44D5D"/>
    <w:rsid w:val="00B47095"/>
    <w:rsid w:val="00B55698"/>
    <w:rsid w:val="00B577CB"/>
    <w:rsid w:val="00B619F4"/>
    <w:rsid w:val="00B61E21"/>
    <w:rsid w:val="00B665B8"/>
    <w:rsid w:val="00B668FD"/>
    <w:rsid w:val="00BB11D3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05B2"/>
    <w:rsid w:val="00D75651"/>
    <w:rsid w:val="00D767E3"/>
    <w:rsid w:val="00D86117"/>
    <w:rsid w:val="00D87920"/>
    <w:rsid w:val="00D95423"/>
    <w:rsid w:val="00D97EE9"/>
    <w:rsid w:val="00DB0D6F"/>
    <w:rsid w:val="00DB25AC"/>
    <w:rsid w:val="00DB2EC7"/>
    <w:rsid w:val="00DC0254"/>
    <w:rsid w:val="00DE065A"/>
    <w:rsid w:val="00DF2112"/>
    <w:rsid w:val="00DF32F9"/>
    <w:rsid w:val="00DF60F0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A5FB6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B28E3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E5A7F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basedOn w:val="Domylnaczcionkaakapitu"/>
    <w:uiPriority w:val="99"/>
    <w:rsid w:val="008337B8"/>
    <w:rPr>
      <w:rFonts w:cs="Times New Roman"/>
    </w:rPr>
  </w:style>
  <w:style w:type="character" w:customStyle="1" w:styleId="extended-address">
    <w:name w:val="extended-address"/>
    <w:basedOn w:val="Domylnaczcionkaakapitu"/>
    <w:uiPriority w:val="99"/>
    <w:rsid w:val="008337B8"/>
    <w:rPr>
      <w:rFonts w:cs="Times New Roman"/>
    </w:rPr>
  </w:style>
  <w:style w:type="character" w:customStyle="1" w:styleId="street-address">
    <w:name w:val="street-address"/>
    <w:basedOn w:val="Domylnaczcionkaakapitu"/>
    <w:uiPriority w:val="99"/>
    <w:rsid w:val="008337B8"/>
    <w:rPr>
      <w:rFonts w:cs="Times New Roman"/>
    </w:rPr>
  </w:style>
  <w:style w:type="character" w:customStyle="1" w:styleId="postal-code">
    <w:name w:val="postal-code"/>
    <w:basedOn w:val="Domylnaczcionkaakapitu"/>
    <w:uiPriority w:val="99"/>
    <w:rsid w:val="008337B8"/>
    <w:rPr>
      <w:rFonts w:cs="Times New Roman"/>
    </w:rPr>
  </w:style>
  <w:style w:type="character" w:customStyle="1" w:styleId="locality">
    <w:name w:val="locality"/>
    <w:basedOn w:val="Domylnaczcionkaakapitu"/>
    <w:uiPriority w:val="99"/>
    <w:rsid w:val="008337B8"/>
    <w:rPr>
      <w:rFonts w:cs="Times New Roman"/>
    </w:rPr>
  </w:style>
  <w:style w:type="character" w:customStyle="1" w:styleId="region">
    <w:name w:val="region"/>
    <w:basedOn w:val="Domylnaczcionkaakapitu"/>
    <w:uiPriority w:val="99"/>
    <w:rsid w:val="008337B8"/>
    <w:rPr>
      <w:rFonts w:cs="Times New Roman"/>
    </w:rPr>
  </w:style>
  <w:style w:type="character" w:styleId="Pogrubienie">
    <w:name w:val="Strong"/>
    <w:basedOn w:val="Domylnaczcionkaakapitu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qFormat/>
    <w:rsid w:val="00A84B9B"/>
    <w:rPr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basedOn w:val="Domylnaczcionkaakapitu"/>
    <w:uiPriority w:val="99"/>
    <w:qFormat/>
    <w:rsid w:val="00A84B9B"/>
    <w:rPr>
      <w:rFonts w:cs="Times New Roman"/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E5A7F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basedOn w:val="Domylnaczcionkaakapitu"/>
    <w:uiPriority w:val="99"/>
    <w:rsid w:val="008337B8"/>
    <w:rPr>
      <w:rFonts w:cs="Times New Roman"/>
    </w:rPr>
  </w:style>
  <w:style w:type="character" w:customStyle="1" w:styleId="extended-address">
    <w:name w:val="extended-address"/>
    <w:basedOn w:val="Domylnaczcionkaakapitu"/>
    <w:uiPriority w:val="99"/>
    <w:rsid w:val="008337B8"/>
    <w:rPr>
      <w:rFonts w:cs="Times New Roman"/>
    </w:rPr>
  </w:style>
  <w:style w:type="character" w:customStyle="1" w:styleId="street-address">
    <w:name w:val="street-address"/>
    <w:basedOn w:val="Domylnaczcionkaakapitu"/>
    <w:uiPriority w:val="99"/>
    <w:rsid w:val="008337B8"/>
    <w:rPr>
      <w:rFonts w:cs="Times New Roman"/>
    </w:rPr>
  </w:style>
  <w:style w:type="character" w:customStyle="1" w:styleId="postal-code">
    <w:name w:val="postal-code"/>
    <w:basedOn w:val="Domylnaczcionkaakapitu"/>
    <w:uiPriority w:val="99"/>
    <w:rsid w:val="008337B8"/>
    <w:rPr>
      <w:rFonts w:cs="Times New Roman"/>
    </w:rPr>
  </w:style>
  <w:style w:type="character" w:customStyle="1" w:styleId="locality">
    <w:name w:val="locality"/>
    <w:basedOn w:val="Domylnaczcionkaakapitu"/>
    <w:uiPriority w:val="99"/>
    <w:rsid w:val="008337B8"/>
    <w:rPr>
      <w:rFonts w:cs="Times New Roman"/>
    </w:rPr>
  </w:style>
  <w:style w:type="character" w:customStyle="1" w:styleId="region">
    <w:name w:val="region"/>
    <w:basedOn w:val="Domylnaczcionkaakapitu"/>
    <w:uiPriority w:val="99"/>
    <w:rsid w:val="008337B8"/>
    <w:rPr>
      <w:rFonts w:cs="Times New Roman"/>
    </w:rPr>
  </w:style>
  <w:style w:type="character" w:styleId="Pogrubienie">
    <w:name w:val="Strong"/>
    <w:basedOn w:val="Domylnaczcionkaakapitu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qFormat/>
    <w:rsid w:val="00A84B9B"/>
    <w:rPr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basedOn w:val="Domylnaczcionkaakapitu"/>
    <w:uiPriority w:val="99"/>
    <w:qFormat/>
    <w:rsid w:val="00A84B9B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253</TotalTime>
  <Pages>15</Pages>
  <Words>4367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PO-MP-0168/86/06                                                   Kielce, dnia 22 listopada 2006 r</vt:lpstr>
    </vt:vector>
  </TitlesOfParts>
  <Company>007</Company>
  <LinksUpToDate>false</LinksUpToDate>
  <CharactersWithSpaces>30508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creator>Kamil Tokarski</dc:creator>
  <cp:lastModifiedBy>Ewelina Kolekta</cp:lastModifiedBy>
  <cp:revision>2</cp:revision>
  <cp:lastPrinted>2024-10-18T07:34:00Z</cp:lastPrinted>
  <dcterms:created xsi:type="dcterms:W3CDTF">2024-10-16T12:13:00Z</dcterms:created>
  <dcterms:modified xsi:type="dcterms:W3CDTF">2024-10-21T10:52:00Z</dcterms:modified>
</cp:coreProperties>
</file>