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77777777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54C4DA5" w14:textId="7F221044" w:rsidR="00945D19" w:rsidRPr="00E568AE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8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EC788C" w:rsidRPr="00EC7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Pr="00E568A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2B4B79D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w stosunku do którego otwarto likwidację, ogłoszono upadłość, którego aktywami zarządza likwidator lub sąd, zawarł układ z wierzycielami, którego działalność gospodarcza jest zawieszona albo znajduję się on w innej tego rodzaju sytuacji wynikającej z podobnej procedury przewidzianej w przepisach miejsca wszczęcia tej procedury,</w:t>
      </w:r>
    </w:p>
    <w:p w14:paraId="15E62327" w14:textId="25A6BE0A" w:rsidR="00945D19" w:rsidRPr="00E568AE" w:rsidRDefault="00945D19" w:rsidP="0045236B">
      <w:pPr>
        <w:suppressAutoHyphens/>
        <w:autoSpaceDN w:val="0"/>
        <w:spacing w:after="0" w:line="240" w:lineRule="auto"/>
        <w:ind w:left="45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lastRenderedPageBreak/>
        <w:t>wykluczenia spośród wymienionych w art. 108 ust. 1 pkt 1-6 oraz art. 109 ust. 1 pkt 4,8 - 10).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CE4E59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 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1A753745" w14:textId="77777777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09BF6AD6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6D7157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1E1630B8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C788C">
      <w:rPr>
        <w:rFonts w:ascii="Times New Roman" w:hAnsi="Times New Roman" w:cs="Times New Roman"/>
        <w:sz w:val="24"/>
        <w:szCs w:val="24"/>
      </w:rPr>
      <w:t>6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4C1253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CD7213">
      <w:rPr>
        <w:rFonts w:ascii="Times New Roman" w:hAnsi="Times New Roman" w:cs="Times New Roman"/>
        <w:sz w:val="24"/>
        <w:szCs w:val="24"/>
      </w:rPr>
      <w:t>.18.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4C1253">
      <w:rPr>
        <w:rFonts w:ascii="Times New Roman" w:hAnsi="Times New Roman" w:cs="Times New Roman"/>
        <w:sz w:val="24"/>
        <w:szCs w:val="24"/>
      </w:rPr>
      <w:t>28 czerwca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253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213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C788C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C702-9797-4CEF-8910-E952572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604985C6</Template>
  <TotalTime>12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2019-08-19T09:28:00Z</cp:lastPrinted>
  <dcterms:created xsi:type="dcterms:W3CDTF">2021-04-20T10:06:00Z</dcterms:created>
  <dcterms:modified xsi:type="dcterms:W3CDTF">2021-06-25T11:41:00Z</dcterms:modified>
</cp:coreProperties>
</file>