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718A9" w:rsidRPr="006272BA" w:rsidTr="00751F14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A9" w:rsidRPr="006272BA" w:rsidRDefault="006718A9" w:rsidP="00847B88">
            <w:pPr>
              <w:keepNext/>
              <w:jc w:val="right"/>
              <w:rPr>
                <w:rFonts w:cs="Calibri"/>
                <w:i/>
                <w:szCs w:val="24"/>
                <w:lang w:eastAsia="ar-SA"/>
              </w:rPr>
            </w:pPr>
            <w:r w:rsidRPr="006272BA">
              <w:rPr>
                <w:rFonts w:cs="Calibri"/>
                <w:i/>
                <w:szCs w:val="24"/>
                <w:lang w:eastAsia="ar-SA"/>
              </w:rPr>
              <w:t>Załącznik nr 3</w:t>
            </w: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18A9" w:rsidRPr="00252715" w:rsidRDefault="006718A9" w:rsidP="00847B88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:rsidR="006718A9" w:rsidRPr="00052DA8" w:rsidRDefault="006718A9" w:rsidP="00847B88">
            <w:pPr>
              <w:keepNext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:rsidR="006718A9" w:rsidRPr="00052DA8" w:rsidRDefault="006718A9" w:rsidP="00847B88">
            <w:pPr>
              <w:keepNext/>
              <w:jc w:val="center"/>
              <w:rPr>
                <w:rFonts w:cs="Calibri"/>
              </w:rPr>
            </w:pPr>
          </w:p>
        </w:tc>
      </w:tr>
      <w:tr w:rsidR="006718A9" w:rsidRPr="00052DA8" w:rsidTr="00751F14">
        <w:trPr>
          <w:trHeight w:val="192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A9" w:rsidRPr="00052DA8" w:rsidRDefault="006718A9" w:rsidP="00847B88">
            <w:pPr>
              <w:keepNext/>
              <w:rPr>
                <w:rFonts w:cs="Calibri"/>
              </w:rPr>
            </w:pP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9" w:rsidRPr="00990D56" w:rsidRDefault="006718A9" w:rsidP="00847B88">
            <w:pPr>
              <w:keepNext/>
              <w:keepLines/>
              <w:suppressAutoHyphens/>
              <w:ind w:left="-10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 w:rsidRPr="00252715">
              <w:rPr>
                <w:rFonts w:cs="Calibri"/>
                <w:b/>
                <w:bCs/>
                <w:spacing w:val="-2"/>
              </w:rPr>
              <w:t>„</w:t>
            </w:r>
            <w:r w:rsidRPr="00F555EC">
              <w:rPr>
                <w:b/>
              </w:rPr>
              <w:t>Dostawa wodorotlenku sodowego 30% (luz) do Zakładu Termicznego Przekształcania Odpadów Komunalnych Międzygminnego Kompleksu Unieszkodliwiania Odpadów ProNatura Sp. z o.o.</w:t>
            </w:r>
            <w:r w:rsidRPr="00252715">
              <w:rPr>
                <w:rFonts w:cs="Calibri"/>
                <w:b/>
                <w:bCs/>
                <w:spacing w:val="-2"/>
              </w:rPr>
              <w:t>”</w:t>
            </w:r>
          </w:p>
          <w:p w:rsidR="006718A9" w:rsidRPr="00052DA8" w:rsidRDefault="00DB2828" w:rsidP="00847B88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DB2828">
              <w:rPr>
                <w:rFonts w:cs="Calibri"/>
                <w:b/>
                <w:iCs/>
                <w:lang w:eastAsia="ar-SA"/>
              </w:rPr>
              <w:t>MKUO ProNatura ZP/TP/11/22</w:t>
            </w: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9" w:rsidRPr="00052DA8" w:rsidRDefault="006718A9" w:rsidP="00847B88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:rsidR="006718A9" w:rsidRPr="00052DA8" w:rsidRDefault="006718A9" w:rsidP="00847B88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6718A9" w:rsidRPr="00052DA8" w:rsidRDefault="006718A9" w:rsidP="00847B88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6718A9" w:rsidRPr="00052DA8" w:rsidRDefault="006718A9" w:rsidP="00847B88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18A9" w:rsidRPr="00052DA8" w:rsidRDefault="006718A9" w:rsidP="00847B88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9" w:rsidRPr="00052DA8" w:rsidRDefault="006718A9" w:rsidP="00847B88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6718A9" w:rsidRPr="00052DA8" w:rsidTr="00751F1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9" w:rsidRPr="006427AA" w:rsidRDefault="006718A9" w:rsidP="00847B88">
            <w:r w:rsidRPr="006427AA">
              <w:t>Z postępowania o udzielenie zamówienia wyklucza się, z zastrzeżeniem art. 110 ust. 2 PZP, Wykonawcę: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313" w:hanging="284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będącego osobą fizyczną, którego prawomocnie skazano za przestępstwo:</w:t>
            </w:r>
          </w:p>
          <w:p w:rsidR="006718A9" w:rsidRPr="00052DA8" w:rsidRDefault="006718A9" w:rsidP="006718A9">
            <w:pPr>
              <w:keepNext/>
              <w:keepLines/>
              <w:numPr>
                <w:ilvl w:val="1"/>
                <w:numId w:val="5"/>
              </w:numPr>
              <w:tabs>
                <w:tab w:val="num" w:pos="567"/>
              </w:tabs>
              <w:suppressAutoHyphens/>
              <w:spacing w:before="60"/>
              <w:ind w:left="567" w:hanging="218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6718A9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handlu ludźmi, o którym mowa w art. 189a Kodeksu karnego,</w:t>
            </w:r>
          </w:p>
          <w:p w:rsidR="006718A9" w:rsidRPr="00773D78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773D78">
              <w:rPr>
                <w:rFonts w:cs="Calibri"/>
                <w:sz w:val="21"/>
                <w:szCs w:val="21"/>
              </w:rPr>
              <w:t xml:space="preserve">o którym mowa w art. 228-230a, art. 250a Kodeksu karnego, w art. 46-48 ustawy </w:t>
            </w:r>
            <w:r>
              <w:rPr>
                <w:rFonts w:cs="Calibri"/>
                <w:sz w:val="21"/>
                <w:szCs w:val="21"/>
              </w:rPr>
              <w:br/>
            </w:r>
            <w:r w:rsidRPr="00773D78">
              <w:rPr>
                <w:rFonts w:cs="Calibri"/>
                <w:sz w:val="21"/>
                <w:szCs w:val="21"/>
              </w:rPr>
              <w:t>z dnia 25 czerwca 2010 r. o sporcie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773D78">
              <w:rPr>
                <w:rFonts w:cs="Calibri"/>
                <w:sz w:val="21"/>
                <w:szCs w:val="21"/>
              </w:rPr>
              <w:t>Dz. U. z 2020 r.</w:t>
            </w:r>
            <w:r>
              <w:rPr>
                <w:rFonts w:cs="Calibri"/>
                <w:sz w:val="21"/>
                <w:szCs w:val="21"/>
              </w:rPr>
              <w:t>,</w:t>
            </w:r>
            <w:r w:rsidRPr="00773D78">
              <w:rPr>
                <w:rFonts w:cs="Calibri"/>
                <w:sz w:val="21"/>
                <w:szCs w:val="21"/>
              </w:rPr>
              <w:t xml:space="preserve"> poz. 1133 </w:t>
            </w:r>
            <w:r>
              <w:rPr>
                <w:rFonts w:cs="Calibri"/>
                <w:sz w:val="21"/>
                <w:szCs w:val="21"/>
              </w:rPr>
              <w:t>ze zm.</w:t>
            </w:r>
            <w:r w:rsidRPr="00773D78">
              <w:rPr>
                <w:rFonts w:cs="Calibri"/>
                <w:sz w:val="21"/>
                <w:szCs w:val="21"/>
              </w:rPr>
              <w:t>) lub w art. 54 ust. 1-4 ustawy z dnia 12 maja 2011 r. o refundacji leków, środków spożywczych specjalnego przeznaczenia żywieniowego oraz wyrobów medycznych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773D78">
              <w:rPr>
                <w:rFonts w:cs="Calibri"/>
                <w:sz w:val="21"/>
                <w:szCs w:val="21"/>
              </w:rPr>
              <w:t>Dz. U. z 2021 r.</w:t>
            </w:r>
            <w:r>
              <w:rPr>
                <w:rFonts w:cs="Calibri"/>
                <w:sz w:val="21"/>
                <w:szCs w:val="21"/>
              </w:rPr>
              <w:t>,</w:t>
            </w:r>
            <w:r w:rsidRPr="00773D78">
              <w:rPr>
                <w:rFonts w:cs="Calibri"/>
                <w:sz w:val="21"/>
                <w:szCs w:val="21"/>
              </w:rPr>
              <w:t xml:space="preserve"> poz. 523</w:t>
            </w:r>
            <w:r>
              <w:rPr>
                <w:rFonts w:cs="Calibri"/>
                <w:sz w:val="21"/>
                <w:szCs w:val="21"/>
              </w:rPr>
              <w:t xml:space="preserve"> ze zm.</w:t>
            </w:r>
            <w:r w:rsidRPr="00773D78">
              <w:rPr>
                <w:rFonts w:cs="Calibri"/>
                <w:sz w:val="21"/>
                <w:szCs w:val="21"/>
              </w:rPr>
              <w:t>),</w:t>
            </w:r>
          </w:p>
          <w:p w:rsidR="006718A9" w:rsidRPr="00252715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pacing w:val="-4"/>
                <w:sz w:val="21"/>
                <w:szCs w:val="21"/>
              </w:rPr>
            </w:pPr>
            <w:r w:rsidRPr="00252715">
              <w:rPr>
                <w:rFonts w:cs="Calibri"/>
                <w:spacing w:val="-4"/>
                <w:sz w:val="21"/>
                <w:szCs w:val="21"/>
              </w:rPr>
              <w:t>finansowania przestępstwa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o charakterze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terrorystycznym,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6718A9" w:rsidRPr="006427AA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o charakterze terrorystycznym, o którym mowa w art. 115 § 20 Kodeksu karnego lub mające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na celu popełnienie tego przestępstwa,</w:t>
            </w:r>
          </w:p>
          <w:p w:rsidR="006718A9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powierzenia wykonywania pracy małoletniemu cudzoziemcowi, o którym mowa w art. 9 ust. 2 ustawy z dnia 15 czerwca 2012r. o skutkach powierzania wykonywania pracy cudzoziemcom przebywającym wbrew przepisom na terytorium Rzeczypospolitej Polskiej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052DA8">
              <w:rPr>
                <w:rFonts w:cs="Calibri"/>
                <w:sz w:val="21"/>
                <w:szCs w:val="21"/>
              </w:rPr>
              <w:t xml:space="preserve">Dz.U. </w:t>
            </w:r>
            <w:r>
              <w:rPr>
                <w:rFonts w:cs="Calibri"/>
                <w:sz w:val="21"/>
                <w:szCs w:val="21"/>
              </w:rPr>
              <w:t>z 2021r., poz. 1745 ze zm.</w:t>
            </w:r>
            <w:r w:rsidRPr="00052DA8">
              <w:rPr>
                <w:rFonts w:cs="Calibri"/>
                <w:sz w:val="21"/>
                <w:szCs w:val="21"/>
              </w:rPr>
              <w:t xml:space="preserve">), 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lub przestępstwo skarbowe,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:rsidR="006718A9" w:rsidRDefault="006718A9" w:rsidP="00847B88">
            <w:pPr>
              <w:keepNext/>
              <w:keepLines/>
              <w:suppressAutoHyphens/>
              <w:ind w:left="595" w:hanging="238"/>
              <w:contextualSpacing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–lub za odpowiedni czyn zabroniony określony w przepisach prawa obcego.</w:t>
            </w:r>
          </w:p>
          <w:p w:rsidR="006718A9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284" w:hanging="247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jeżeli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urzędującego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członka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jego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organu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zarządzającego lub nadzorczego, wspólnika spółki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w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spółce jawnej lub partnerskiej albo komplementariusza współce komandytowej lub komandytowo-akcyjnej lub prokurenta prawomocnie skazano za przestępstwo, o którym mowa w pkt. 1)</w:t>
            </w:r>
          </w:p>
          <w:p w:rsidR="006718A9" w:rsidRPr="006427AA" w:rsidRDefault="006718A9" w:rsidP="00847B88"/>
          <w:p w:rsidR="006718A9" w:rsidRPr="00052DA8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284" w:hanging="247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lastRenderedPageBreak/>
              <w:t>wobec którego wydano prawomocny wyrok sądu lub ostateczną decyzję administracyjną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lub grzywnami lub zawarł wiążące porozumienie w sprawie spłaty tych należności;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284" w:hanging="247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wobec którego prawomocnie orzeczono zakaz ubiegania się o zamówienia publiczne;.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284" w:hanging="247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jeżeli zamawiający może stwierdzić, na podstawie wiarygodnych przesłanek, że wykonawca zawarł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z innymi wykonawcami porozumienie mające na celu zakłócenie konkurencji, w szczególności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jeżeli należąc do tej samej grupy kapitałowej w rozumieniu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ustawy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z dnia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16 lutego 2007r.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ochronie konkurencji i konsumentów, złożyli odrębne oferty, oferty częściowe lub wnioski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o dopuszczenie do udziału w postępowaniu, chyba że wykażą, że przygotowali te oferty lub wnioski niezależnie od siebie;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6"/>
              </w:numPr>
              <w:suppressAutoHyphens/>
              <w:spacing w:before="60"/>
              <w:ind w:left="284" w:hanging="247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jeżeli, w przypadkach, o których mowa w art. 85 ust.1, doszło do zakłócenia konkurencji wynikającego z wcześniejszego zaangażowania tego wykonawcy lub podmiotu, który należy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z wykonawcą do tej samej grupy kapitałowej w rozumieniu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ustawy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z dnia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16 lutego 2007r.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ochronie konkurencji i konsumentów, chyba że spowodowane tym zakłócenie konkurencji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może być wyeliminowane winny sposób niż przez wykluczenie wykonawcy z udziału w postępowaniu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o</w:t>
            </w:r>
            <w:r>
              <w:rPr>
                <w:rFonts w:cs="Calibri"/>
                <w:sz w:val="21"/>
                <w:szCs w:val="21"/>
              </w:rPr>
              <w:t> </w:t>
            </w:r>
            <w:r w:rsidRPr="00052DA8">
              <w:rPr>
                <w:rFonts w:cs="Calibri"/>
                <w:sz w:val="21"/>
                <w:szCs w:val="21"/>
              </w:rPr>
              <w:t>udzielenie zamówienia.</w:t>
            </w:r>
          </w:p>
          <w:p w:rsidR="006718A9" w:rsidRPr="00052DA8" w:rsidRDefault="006718A9" w:rsidP="00847B88">
            <w:pPr>
              <w:keepNext/>
              <w:keepLines/>
              <w:suppressAutoHyphens/>
              <w:spacing w:before="120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052DA8">
              <w:rPr>
                <w:rFonts w:eastAsia="Times New Roman" w:cs="Calibri"/>
                <w:sz w:val="21"/>
                <w:szCs w:val="21"/>
                <w:lang w:eastAsia="ar-SA"/>
              </w:rPr>
              <w:t xml:space="preserve">Zamawiający przewiduje wykluczenie Wykonawcy w następujących spośród przypadków, 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br/>
            </w:r>
            <w:r w:rsidRPr="00052DA8">
              <w:rPr>
                <w:rFonts w:eastAsia="Times New Roman" w:cs="Calibri"/>
                <w:sz w:val="21"/>
                <w:szCs w:val="21"/>
                <w:lang w:eastAsia="ar-SA"/>
              </w:rPr>
              <w:t>o których mowa w art. 109 ust. 1 PZP:</w:t>
            </w:r>
          </w:p>
          <w:p w:rsidR="006718A9" w:rsidRPr="00052DA8" w:rsidRDefault="006718A9" w:rsidP="006718A9">
            <w:pPr>
              <w:keepNext/>
              <w:keepLines/>
              <w:numPr>
                <w:ilvl w:val="0"/>
                <w:numId w:val="7"/>
              </w:numPr>
              <w:suppressAutoHyphens/>
              <w:contextualSpacing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jest zawieszona albo znajduje się on w innej tego rodzaju sytuacji wynikającej z podobnej procedury przewidzianej w przepisach miejsc.</w:t>
            </w:r>
          </w:p>
          <w:p w:rsidR="006718A9" w:rsidRDefault="006718A9" w:rsidP="00847B88">
            <w:pPr>
              <w:keepNext/>
              <w:keepLines/>
              <w:tabs>
                <w:tab w:val="left" w:pos="567"/>
              </w:tabs>
              <w:suppressAutoHyphens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Wykonawca ubiegający się o przedmiotowe zamówienie musi spełniać również warunki udziału </w:t>
            </w:r>
            <w:r w:rsidRPr="00052DA8">
              <w:rPr>
                <w:rFonts w:cs="Calibri"/>
                <w:sz w:val="21"/>
                <w:szCs w:val="21"/>
              </w:rPr>
              <w:br/>
              <w:t>w postępowaniu dotyczące:</w:t>
            </w:r>
          </w:p>
          <w:p w:rsidR="006718A9" w:rsidRPr="00252715" w:rsidRDefault="006718A9" w:rsidP="006718A9">
            <w:pPr>
              <w:keepNext/>
              <w:keepLines/>
              <w:numPr>
                <w:ilvl w:val="0"/>
                <w:numId w:val="8"/>
              </w:numPr>
              <w:suppressAutoHyphens/>
              <w:spacing w:before="60" w:after="60"/>
              <w:ind w:left="568" w:hanging="284"/>
              <w:rPr>
                <w:rFonts w:eastAsia="Times New Roman" w:cs="Calibri"/>
                <w:lang w:val="x-none" w:eastAsia="ar-SA"/>
              </w:rPr>
            </w:pPr>
            <w:r w:rsidRPr="00052DA8">
              <w:rPr>
                <w:rFonts w:eastAsia="Times New Roman" w:cs="Calibri"/>
                <w:b/>
                <w:lang w:val="x-none" w:eastAsia="ar-SA"/>
              </w:rPr>
              <w:t>Zdolności do występowania w obrocie gospodarczym</w:t>
            </w:r>
          </w:p>
          <w:p w:rsidR="006718A9" w:rsidRDefault="006718A9" w:rsidP="00847B88">
            <w:pPr>
              <w:keepNext/>
              <w:keepLines/>
              <w:suppressAutoHyphens/>
              <w:spacing w:after="120"/>
              <w:ind w:left="567"/>
              <w:rPr>
                <w:rFonts w:eastAsia="Times New Roman" w:cs="Calibri"/>
                <w:iCs/>
                <w:color w:val="000000"/>
                <w:lang w:val="x-none" w:eastAsia="ar-SA"/>
              </w:rPr>
            </w:pPr>
            <w:r w:rsidRPr="00052DA8">
              <w:rPr>
                <w:rFonts w:eastAsia="Times New Roman" w:cs="Calibri"/>
                <w:color w:val="000000"/>
                <w:lang w:val="x-none" w:eastAsia="ar-SA"/>
              </w:rPr>
              <w:t xml:space="preserve">Zamawiający nie stawia szczególnych </w:t>
            </w:r>
            <w:r w:rsidRPr="00052DA8">
              <w:rPr>
                <w:rFonts w:eastAsia="Times New Roman" w:cs="Calibri"/>
                <w:iCs/>
                <w:color w:val="000000"/>
                <w:lang w:val="x-none" w:eastAsia="ar-SA"/>
              </w:rPr>
              <w:t>wymagań</w:t>
            </w:r>
            <w:r w:rsidRPr="00052DA8">
              <w:rPr>
                <w:rFonts w:eastAsia="Times New Roman" w:cs="Calibri"/>
                <w:color w:val="000000"/>
                <w:lang w:val="x-none" w:eastAsia="ar-SA"/>
              </w:rPr>
              <w:t xml:space="preserve"> w tym zakresie.</w:t>
            </w:r>
            <w:r w:rsidRPr="00052DA8">
              <w:rPr>
                <w:rFonts w:eastAsia="Times New Roman" w:cs="Calibri"/>
                <w:iCs/>
                <w:color w:val="000000"/>
                <w:lang w:val="x-none" w:eastAsia="ar-SA"/>
              </w:rPr>
              <w:t xml:space="preserve"> </w:t>
            </w:r>
          </w:p>
          <w:p w:rsidR="006718A9" w:rsidRPr="00DB04DB" w:rsidRDefault="006718A9" w:rsidP="006718A9">
            <w:pPr>
              <w:keepNext/>
              <w:keepLines/>
              <w:numPr>
                <w:ilvl w:val="0"/>
                <w:numId w:val="8"/>
              </w:numPr>
              <w:suppressAutoHyphens/>
              <w:spacing w:before="60" w:after="60"/>
              <w:ind w:left="568" w:hanging="284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 xml:space="preserve">Uprawnień do prowadzenia określonej działalności gospodarczej lub zawodowej, </w:t>
            </w:r>
            <w:r w:rsidRPr="00DB04DB">
              <w:rPr>
                <w:rFonts w:eastAsia="Times New Roman" w:cs="Calibri"/>
                <w:b/>
                <w:lang w:val="x-none" w:eastAsia="ar-SA"/>
              </w:rPr>
              <w:br/>
              <w:t>o ile wynika to z odrębnych przepisów</w:t>
            </w:r>
          </w:p>
          <w:p w:rsidR="006718A9" w:rsidRDefault="006718A9" w:rsidP="00847B88">
            <w:pPr>
              <w:keepNext/>
              <w:keepLines/>
              <w:tabs>
                <w:tab w:val="left" w:pos="567"/>
              </w:tabs>
              <w:suppressAutoHyphens/>
              <w:ind w:left="567"/>
              <w:rPr>
                <w:rFonts w:eastAsia="Times New Roman" w:cs="Calibri"/>
                <w:lang w:val="x-none" w:eastAsia="ar-SA"/>
              </w:rPr>
            </w:pPr>
            <w:r w:rsidRPr="00052DA8">
              <w:rPr>
                <w:rFonts w:eastAsia="Times New Roman" w:cs="Calibri"/>
                <w:lang w:val="x-none" w:eastAsia="ar-SA"/>
              </w:rPr>
              <w:t>Zamawiający nie stawia szczególnych wymagań w tym zakresie</w:t>
            </w:r>
          </w:p>
          <w:p w:rsidR="006718A9" w:rsidRPr="00DB04DB" w:rsidRDefault="006718A9" w:rsidP="006718A9">
            <w:pPr>
              <w:keepNext/>
              <w:keepLines/>
              <w:numPr>
                <w:ilvl w:val="0"/>
                <w:numId w:val="8"/>
              </w:numPr>
              <w:suppressAutoHyphens/>
              <w:spacing w:before="60" w:after="60"/>
              <w:ind w:left="568" w:hanging="284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>Sytuacji ekonomicznej i finansowej</w:t>
            </w:r>
          </w:p>
          <w:p w:rsidR="006718A9" w:rsidRPr="00482FF3" w:rsidRDefault="006718A9" w:rsidP="00DB2828">
            <w:pPr>
              <w:pStyle w:val="Tekstpodstawowywcity23"/>
              <w:spacing w:before="60"/>
              <w:ind w:left="601" w:firstLine="0"/>
              <w:rPr>
                <w:rFonts w:ascii="Calibri" w:hAnsi="Calibri"/>
                <w:sz w:val="22"/>
                <w:szCs w:val="22"/>
              </w:rPr>
            </w:pPr>
            <w:r w:rsidRPr="00482FF3">
              <w:rPr>
                <w:rFonts w:ascii="Calibri" w:hAnsi="Calibri"/>
                <w:sz w:val="22"/>
                <w:szCs w:val="22"/>
              </w:rPr>
              <w:t>W celu potwierdzenia spełniania ww. warunku Wykonawca ubiegający się o niniejsze zamówienie, musi wykazać się posiadaniem ubezpieczenia od odpowiedzialności cywilnej w zakresie prowadzonej działalności związanej z przedmiotem zamówienia, 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2FF3">
              <w:rPr>
                <w:rFonts w:ascii="Calibri" w:hAnsi="Calibri"/>
                <w:sz w:val="22"/>
                <w:szCs w:val="22"/>
              </w:rPr>
              <w:t xml:space="preserve">której suma gwarancyjna wynosi co najmniej </w:t>
            </w:r>
            <w:r w:rsidRPr="00482FF3">
              <w:rPr>
                <w:rFonts w:ascii="Calibri" w:hAnsi="Calibri"/>
                <w:b/>
                <w:sz w:val="22"/>
                <w:szCs w:val="22"/>
              </w:rPr>
              <w:t>250.000,00 PLN</w:t>
            </w:r>
            <w:r w:rsidRPr="00482FF3">
              <w:rPr>
                <w:rFonts w:ascii="Calibri" w:hAnsi="Calibri"/>
                <w:sz w:val="22"/>
                <w:szCs w:val="22"/>
              </w:rPr>
              <w:t>. Wykonawca jest zobowiązany zapewnić trwałość ubezpieczenia przez ca</w:t>
            </w:r>
            <w:bookmarkStart w:id="0" w:name="_GoBack"/>
            <w:bookmarkEnd w:id="0"/>
            <w:r w:rsidRPr="00482FF3">
              <w:rPr>
                <w:rFonts w:ascii="Calibri" w:hAnsi="Calibri"/>
                <w:sz w:val="22"/>
                <w:szCs w:val="22"/>
              </w:rPr>
              <w:t>ły okres związania umową.</w:t>
            </w:r>
          </w:p>
          <w:p w:rsidR="006718A9" w:rsidRPr="00482FF3" w:rsidRDefault="006718A9" w:rsidP="00DB2828">
            <w:pPr>
              <w:pStyle w:val="Tekstpodstawowywcity23"/>
              <w:ind w:left="601" w:firstLine="0"/>
              <w:rPr>
                <w:rFonts w:ascii="Calibri" w:hAnsi="Calibri"/>
                <w:sz w:val="22"/>
                <w:szCs w:val="22"/>
              </w:rPr>
            </w:pPr>
            <w:r w:rsidRPr="00482FF3">
              <w:rPr>
                <w:rFonts w:ascii="Calibri" w:hAnsi="Calibri"/>
                <w:sz w:val="22"/>
                <w:szCs w:val="22"/>
              </w:rPr>
              <w:t>Warunek oceniony zostanie na podstawie złożonych oświadczenia i dokumentów.</w:t>
            </w:r>
          </w:p>
          <w:p w:rsidR="006718A9" w:rsidRPr="00DB04DB" w:rsidRDefault="006718A9" w:rsidP="006718A9">
            <w:pPr>
              <w:keepNext/>
              <w:keepLines/>
              <w:numPr>
                <w:ilvl w:val="0"/>
                <w:numId w:val="8"/>
              </w:numPr>
              <w:suppressAutoHyphens/>
              <w:spacing w:before="60" w:after="60"/>
              <w:ind w:left="568" w:hanging="284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>Zdolności technicznej lub zawodowej</w:t>
            </w:r>
          </w:p>
          <w:p w:rsidR="006718A9" w:rsidRPr="00EA1231" w:rsidRDefault="006718A9" w:rsidP="00DB2828">
            <w:pPr>
              <w:pStyle w:val="Tekstpodstawowywcity23"/>
              <w:spacing w:before="60"/>
              <w:ind w:left="601" w:firstLine="0"/>
              <w:rPr>
                <w:rFonts w:ascii="Calibri" w:hAnsi="Calibri"/>
                <w:sz w:val="22"/>
                <w:szCs w:val="22"/>
              </w:rPr>
            </w:pPr>
            <w:r w:rsidRPr="00EA1231">
              <w:rPr>
                <w:rFonts w:ascii="Calibri" w:hAnsi="Calibri"/>
                <w:sz w:val="22"/>
                <w:szCs w:val="22"/>
              </w:rPr>
              <w:t>Na potwierdzenie spełniania ww. warunku Wykonawca ubiegający się o zamówienie musi wykazać się:</w:t>
            </w:r>
          </w:p>
          <w:p w:rsidR="006718A9" w:rsidRPr="00052DA8" w:rsidRDefault="006718A9" w:rsidP="00DB2828">
            <w:pPr>
              <w:tabs>
                <w:tab w:val="left" w:pos="567"/>
              </w:tabs>
              <w:suppressAutoHyphens/>
              <w:ind w:left="993" w:hanging="108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F555EC">
              <w:t>-</w:t>
            </w:r>
            <w:r>
              <w:tab/>
            </w:r>
            <w:r w:rsidRPr="00F555EC">
              <w:t xml:space="preserve">dysponowaniem środkami transportu spełniającymi wymogi prawne dla transportu </w:t>
            </w:r>
            <w:r>
              <w:br/>
            </w:r>
            <w:r w:rsidRPr="00F555EC">
              <w:t>tego typu ładunków. Zamawiający dopuszcza podwykonawstwo w</w:t>
            </w:r>
            <w:r>
              <w:t xml:space="preserve"> </w:t>
            </w:r>
            <w:r w:rsidRPr="00F555EC">
              <w:t>zakresie transportu. Warunek oceniony zostanie na podstawie złożonego oświadczenia.</w:t>
            </w:r>
          </w:p>
        </w:tc>
      </w:tr>
    </w:tbl>
    <w:p w:rsidR="00751F14" w:rsidRDefault="00751F14" w:rsidP="00751F14">
      <w:pPr>
        <w:suppressAutoHyphens/>
        <w:rPr>
          <w:sz w:val="16"/>
        </w:rPr>
      </w:pPr>
    </w:p>
    <w:p w:rsidR="00751F14" w:rsidRDefault="00751F14" w:rsidP="00751F14">
      <w:pPr>
        <w:suppressAutoHyphens/>
        <w:rPr>
          <w:sz w:val="16"/>
        </w:rPr>
      </w:pPr>
    </w:p>
    <w:p w:rsidR="00751F14" w:rsidRDefault="00751F14" w:rsidP="00751F14">
      <w:pPr>
        <w:suppressAutoHyphens/>
        <w:rPr>
          <w:sz w:val="16"/>
        </w:rPr>
      </w:pPr>
    </w:p>
    <w:p w:rsidR="00751F14" w:rsidRDefault="00751F14" w:rsidP="00751F14">
      <w:pPr>
        <w:suppressAutoHyphens/>
        <w:rPr>
          <w:sz w:val="16"/>
        </w:rPr>
      </w:pPr>
    </w:p>
    <w:p w:rsidR="00751F14" w:rsidRDefault="00751F14" w:rsidP="00751F14">
      <w:pPr>
        <w:suppressAutoHyphens/>
        <w:rPr>
          <w:sz w:val="16"/>
        </w:rPr>
      </w:pPr>
    </w:p>
    <w:p w:rsidR="00751F14" w:rsidRDefault="00751F14" w:rsidP="00751F14">
      <w:pPr>
        <w:suppressAutoHyphens/>
        <w:rPr>
          <w:sz w:val="16"/>
        </w:rPr>
      </w:pPr>
    </w:p>
    <w:p w:rsidR="00751F14" w:rsidRPr="003671DD" w:rsidRDefault="00751F14" w:rsidP="00751F14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EF29BA" w:rsidRPr="006718A9" w:rsidRDefault="00751F14" w:rsidP="00751F14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sectPr w:rsidR="00EF29BA" w:rsidRPr="006718A9" w:rsidSect="00751F14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03" w:rsidRDefault="009C1003" w:rsidP="00E4440E">
      <w:r>
        <w:separator/>
      </w:r>
    </w:p>
  </w:endnote>
  <w:endnote w:type="continuationSeparator" w:id="0">
    <w:p w:rsidR="009C1003" w:rsidRDefault="009C1003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DB2828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DB2828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03" w:rsidRDefault="009C1003" w:rsidP="00E4440E">
      <w:r>
        <w:separator/>
      </w:r>
    </w:p>
  </w:footnote>
  <w:footnote w:type="continuationSeparator" w:id="0">
    <w:p w:rsidR="009C1003" w:rsidRDefault="009C1003" w:rsidP="00E4440E">
      <w:r>
        <w:continuationSeparator/>
      </w:r>
    </w:p>
  </w:footnote>
  <w:footnote w:id="1">
    <w:p w:rsidR="006718A9" w:rsidRPr="00245B88" w:rsidRDefault="006718A9" w:rsidP="006718A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751F14" w:rsidRDefault="00E4440E" w:rsidP="00E4440E">
    <w:pPr>
      <w:pStyle w:val="Nagwek"/>
      <w:jc w:val="right"/>
      <w:rPr>
        <w:color w:val="7F7F7F" w:themeColor="text1" w:themeTint="80"/>
      </w:rPr>
    </w:pPr>
    <w:r w:rsidRPr="00751F14">
      <w:rPr>
        <w:b/>
        <w:i/>
        <w:color w:val="7F7F7F" w:themeColor="text1" w:themeTint="80"/>
      </w:rPr>
      <w:fldChar w:fldCharType="begin"/>
    </w:r>
    <w:r w:rsidRPr="00751F14">
      <w:rPr>
        <w:b/>
        <w:i/>
        <w:color w:val="7F7F7F" w:themeColor="text1" w:themeTint="80"/>
      </w:rPr>
      <w:instrText xml:space="preserve"> REF Nr_referencyjny \h  \* MERGEFORMAT </w:instrText>
    </w:r>
    <w:r w:rsidRPr="00751F14">
      <w:rPr>
        <w:b/>
        <w:i/>
        <w:color w:val="7F7F7F" w:themeColor="text1" w:themeTint="80"/>
      </w:rPr>
    </w:r>
    <w:r w:rsidRPr="00751F14">
      <w:rPr>
        <w:b/>
        <w:i/>
        <w:color w:val="7F7F7F" w:themeColor="text1" w:themeTint="80"/>
      </w:rPr>
      <w:fldChar w:fldCharType="separate"/>
    </w:r>
    <w:r w:rsidR="00751F14" w:rsidRPr="00751F14">
      <w:rPr>
        <w:rFonts w:cs="Calibri"/>
        <w:b/>
        <w:iCs/>
        <w:color w:val="7F7F7F" w:themeColor="text1" w:themeTint="80"/>
        <w:lang w:eastAsia="ar-SA"/>
      </w:rPr>
      <w:fldChar w:fldCharType="begin"/>
    </w:r>
    <w:r w:rsidR="00751F14" w:rsidRPr="00751F14">
      <w:rPr>
        <w:rFonts w:cs="Calibri"/>
        <w:b/>
        <w:iCs/>
        <w:color w:val="7F7F7F" w:themeColor="text1" w:themeTint="80"/>
        <w:szCs w:val="24"/>
        <w:lang w:eastAsia="ar-SA"/>
      </w:rPr>
      <w:instrText xml:space="preserve"> REF Nr_referencyjny \h </w:instrText>
    </w:r>
    <w:r w:rsidR="00751F14" w:rsidRPr="00751F14">
      <w:rPr>
        <w:rFonts w:cs="Calibri"/>
        <w:b/>
        <w:iCs/>
        <w:color w:val="7F7F7F" w:themeColor="text1" w:themeTint="80"/>
        <w:lang w:eastAsia="ar-SA"/>
      </w:rPr>
    </w:r>
    <w:r w:rsidR="00751F14" w:rsidRPr="00751F14">
      <w:rPr>
        <w:rFonts w:cs="Calibri"/>
        <w:b/>
        <w:iCs/>
        <w:color w:val="7F7F7F" w:themeColor="text1" w:themeTint="80"/>
        <w:lang w:eastAsia="ar-SA"/>
      </w:rPr>
      <w:fldChar w:fldCharType="separate"/>
    </w:r>
    <w:r w:rsidR="00751F14" w:rsidRPr="00751F14">
      <w:rPr>
        <w:b/>
        <w:color w:val="7F7F7F" w:themeColor="text1" w:themeTint="80"/>
      </w:rPr>
      <w:t>MKUO ProNatura ZP/TP/11/22</w:t>
    </w:r>
    <w:r w:rsidR="00751F14" w:rsidRPr="00751F14">
      <w:rPr>
        <w:rFonts w:cs="Calibri"/>
        <w:b/>
        <w:iCs/>
        <w:color w:val="7F7F7F" w:themeColor="text1" w:themeTint="80"/>
        <w:lang w:eastAsia="ar-SA"/>
      </w:rPr>
      <w:fldChar w:fldCharType="end"/>
    </w:r>
    <w:r w:rsidR="00751F14" w:rsidRPr="00751F14">
      <w:rPr>
        <w:bCs/>
        <w:i/>
        <w:color w:val="7F7F7F" w:themeColor="text1" w:themeTint="80"/>
      </w:rPr>
      <w:t>.</w:t>
    </w:r>
    <w:r w:rsidRPr="00751F14">
      <w:rPr>
        <w:b/>
        <w:i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1723CE"/>
    <w:rsid w:val="001B5B3D"/>
    <w:rsid w:val="001E414C"/>
    <w:rsid w:val="00655848"/>
    <w:rsid w:val="006718A9"/>
    <w:rsid w:val="00751F14"/>
    <w:rsid w:val="009C1003"/>
    <w:rsid w:val="00B708B1"/>
    <w:rsid w:val="00C270F7"/>
    <w:rsid w:val="00D723B4"/>
    <w:rsid w:val="00DB2828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6718A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4</cp:revision>
  <dcterms:created xsi:type="dcterms:W3CDTF">2022-02-07T13:37:00Z</dcterms:created>
  <dcterms:modified xsi:type="dcterms:W3CDTF">2022-02-08T06:11:00Z</dcterms:modified>
</cp:coreProperties>
</file>