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99DC" w14:textId="5255466D" w:rsidR="005A29E0" w:rsidRDefault="005A29E0" w:rsidP="006B7551">
      <w:pPr>
        <w:keepNext/>
        <w:spacing w:after="0" w:line="240" w:lineRule="auto"/>
        <w:outlineLvl w:val="1"/>
        <w:rPr>
          <w:i/>
          <w:sz w:val="20"/>
          <w:szCs w:val="24"/>
        </w:rPr>
      </w:pPr>
      <w:r w:rsidRPr="00631781">
        <w:rPr>
          <w:i/>
          <w:sz w:val="20"/>
          <w:szCs w:val="24"/>
        </w:rPr>
        <w:t>Sygnatura postępowania:</w:t>
      </w:r>
      <w:r w:rsidR="00631781" w:rsidRPr="00631781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 </w:t>
      </w:r>
      <w:bookmarkStart w:id="0" w:name="_GoBack"/>
      <w:r w:rsidR="007E1A67" w:rsidRPr="007E1A67">
        <w:rPr>
          <w:i/>
          <w:sz w:val="20"/>
          <w:szCs w:val="24"/>
        </w:rPr>
        <w:t>ZP.271.25.2022.AWE</w:t>
      </w:r>
      <w:bookmarkEnd w:id="0"/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4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3"/>
    <w:bookmarkEnd w:id="4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554B5476" w:rsidR="00E21868" w:rsidRPr="006B7551" w:rsidRDefault="00441C08" w:rsidP="006B7551">
      <w:pPr>
        <w:spacing w:after="0" w:line="240" w:lineRule="auto"/>
        <w:jc w:val="center"/>
        <w:rPr>
          <w:rFonts w:eastAsia="Calibri" w:cs="Calibri"/>
          <w:b/>
          <w:bCs/>
          <w:sz w:val="24"/>
          <w:szCs w:val="24"/>
        </w:rPr>
      </w:pPr>
      <w:r w:rsidRPr="0003656D">
        <w:rPr>
          <w:rFonts w:eastAsia="Calibri" w:cs="Calibri"/>
          <w:b/>
          <w:sz w:val="24"/>
          <w:szCs w:val="24"/>
        </w:rPr>
        <w:t>„</w:t>
      </w:r>
      <w:r w:rsidR="007E1A67" w:rsidRPr="007E1A67">
        <w:rPr>
          <w:rFonts w:eastAsia="Calibri" w:cs="Calibri"/>
          <w:b/>
          <w:bCs/>
          <w:sz w:val="24"/>
          <w:szCs w:val="24"/>
        </w:rPr>
        <w:t>Przebudow</w:t>
      </w:r>
      <w:r w:rsidR="007E1A67">
        <w:rPr>
          <w:rFonts w:eastAsia="Calibri" w:cs="Calibri"/>
          <w:b/>
          <w:bCs/>
          <w:sz w:val="24"/>
          <w:szCs w:val="24"/>
        </w:rPr>
        <w:t>ę</w:t>
      </w:r>
      <w:r w:rsidR="007E1A67" w:rsidRPr="007E1A67">
        <w:rPr>
          <w:rFonts w:eastAsia="Calibri" w:cs="Calibri"/>
          <w:b/>
          <w:bCs/>
          <w:sz w:val="24"/>
          <w:szCs w:val="24"/>
        </w:rPr>
        <w:t xml:space="preserve"> i remont budynku mieszkalno-usługowego znajdującego się przy ul. Rynek im. Jana Pawła II 18 w Myśliborzu</w:t>
      </w:r>
      <w:r w:rsidRPr="0003656D">
        <w:rPr>
          <w:rFonts w:eastAsia="Calibri" w:cs="Calibri"/>
          <w:b/>
          <w:sz w:val="24"/>
          <w:szCs w:val="24"/>
        </w:rPr>
        <w:t>”</w:t>
      </w:r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F9EC" w14:textId="77777777" w:rsidR="00D13AC9" w:rsidRDefault="00D13AC9" w:rsidP="00D13AC9">
    <w:r>
      <w:rPr>
        <w:noProof/>
      </w:rPr>
      <w:drawing>
        <wp:inline distT="0" distB="0" distL="0" distR="0" wp14:anchorId="50A09DBD" wp14:editId="3CD02EAE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99BACF1" wp14:editId="04466A54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C69C4A7" wp14:editId="20A9ED9F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20DB405" wp14:editId="52BFF3B0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361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59C7"/>
    <w:rsid w:val="007E1A6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C2A1-8626-4103-AEE4-8D6C18EA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14</cp:revision>
  <cp:lastPrinted>2019-08-19T09:28:00Z</cp:lastPrinted>
  <dcterms:created xsi:type="dcterms:W3CDTF">2021-04-09T10:51:00Z</dcterms:created>
  <dcterms:modified xsi:type="dcterms:W3CDTF">2022-04-26T11:20:00Z</dcterms:modified>
</cp:coreProperties>
</file>