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1ECE9" w14:textId="77777777" w:rsidR="006E09C4" w:rsidRPr="006E09C4" w:rsidRDefault="006E09C4" w:rsidP="006E09C4">
      <w:pPr>
        <w:pStyle w:val="Nagwek1"/>
        <w:jc w:val="right"/>
        <w:rPr>
          <w:rFonts w:ascii="Arial" w:hAnsi="Arial" w:cs="Arial"/>
          <w:b/>
          <w:bCs/>
          <w:color w:val="auto"/>
          <w:sz w:val="22"/>
          <w:szCs w:val="22"/>
        </w:rPr>
      </w:pPr>
      <w:r w:rsidRPr="006E09C4">
        <w:rPr>
          <w:rFonts w:ascii="Arial" w:hAnsi="Arial" w:cs="Arial"/>
          <w:b/>
          <w:bCs/>
          <w:color w:val="auto"/>
          <w:sz w:val="22"/>
          <w:szCs w:val="22"/>
        </w:rPr>
        <w:t xml:space="preserve">Załącznik nr </w:t>
      </w:r>
      <w:r w:rsidR="00404D42">
        <w:rPr>
          <w:rFonts w:ascii="Arial" w:hAnsi="Arial" w:cs="Arial"/>
          <w:b/>
          <w:bCs/>
          <w:color w:val="auto"/>
          <w:sz w:val="22"/>
          <w:szCs w:val="22"/>
        </w:rPr>
        <w:t>5</w:t>
      </w:r>
      <w:r w:rsidRPr="006E09C4">
        <w:rPr>
          <w:rFonts w:ascii="Arial" w:hAnsi="Arial" w:cs="Arial"/>
          <w:b/>
          <w:bCs/>
          <w:color w:val="auto"/>
          <w:sz w:val="22"/>
          <w:szCs w:val="22"/>
        </w:rPr>
        <w:t xml:space="preserve"> do SWZ </w:t>
      </w:r>
    </w:p>
    <w:p w14:paraId="676A9FA7" w14:textId="77777777" w:rsidR="006E09C4" w:rsidRPr="006E09C4" w:rsidRDefault="006E09C4" w:rsidP="006E09C4">
      <w:pPr>
        <w:pStyle w:val="Nagwek1"/>
        <w:jc w:val="center"/>
        <w:rPr>
          <w:rFonts w:ascii="Arial" w:hAnsi="Arial" w:cs="Arial"/>
          <w:b/>
          <w:bCs/>
          <w:sz w:val="22"/>
          <w:szCs w:val="22"/>
        </w:rPr>
      </w:pPr>
      <w:r w:rsidRPr="006E09C4">
        <w:rPr>
          <w:rFonts w:ascii="Arial" w:hAnsi="Arial" w:cs="Arial"/>
          <w:b/>
          <w:bCs/>
          <w:sz w:val="22"/>
          <w:szCs w:val="22"/>
        </w:rPr>
        <w:t xml:space="preserve">SPECYFIKACJA TECHNICZNA </w:t>
      </w:r>
    </w:p>
    <w:p w14:paraId="007BB0EC" w14:textId="77777777" w:rsidR="006E09C4" w:rsidRPr="006862A9" w:rsidRDefault="006E09C4" w:rsidP="006E09C4"/>
    <w:p w14:paraId="243F0CC0" w14:textId="77777777" w:rsidR="006E09C4" w:rsidRPr="006862A9" w:rsidRDefault="006E09C4" w:rsidP="006E09C4">
      <w:pPr>
        <w:pStyle w:val="Akapitzlist"/>
        <w:numPr>
          <w:ilvl w:val="3"/>
          <w:numId w:val="1"/>
        </w:numPr>
        <w:tabs>
          <w:tab w:val="left" w:pos="284"/>
          <w:tab w:val="left" w:pos="2410"/>
          <w:tab w:val="left" w:pos="3261"/>
        </w:tabs>
        <w:ind w:left="4253" w:hanging="4267"/>
        <w:rPr>
          <w:rFonts w:ascii="Arial" w:hAnsi="Arial" w:cs="Arial"/>
        </w:rPr>
      </w:pPr>
      <w:r w:rsidRPr="006862A9">
        <w:rPr>
          <w:rFonts w:ascii="Arial" w:hAnsi="Arial" w:cs="Arial"/>
          <w:b/>
          <w:bCs/>
        </w:rPr>
        <w:t>Wstęp.</w:t>
      </w:r>
    </w:p>
    <w:p w14:paraId="21D8F260" w14:textId="77777777" w:rsidR="006E09C4" w:rsidRPr="006862A9" w:rsidRDefault="006E09C4" w:rsidP="006E09C4">
      <w:pPr>
        <w:spacing w:after="0"/>
        <w:jc w:val="both"/>
        <w:rPr>
          <w:rFonts w:ascii="Arial" w:hAnsi="Arial" w:cs="Arial"/>
        </w:rPr>
      </w:pPr>
      <w:r w:rsidRPr="006862A9">
        <w:rPr>
          <w:rFonts w:ascii="Arial" w:hAnsi="Arial" w:cs="Arial"/>
        </w:rPr>
        <w:t xml:space="preserve">Przedmiotem niniejszej specyfikacji technicznej są wymagania dotyczące dostawy montażu wraz z uruchomieniem lamp solarnych. Miejsce montażu zostanie wskazane przez Zamawiającego.  </w:t>
      </w:r>
    </w:p>
    <w:p w14:paraId="1AD71CF0" w14:textId="77777777" w:rsidR="006E09C4" w:rsidRPr="006862A9" w:rsidRDefault="006E09C4" w:rsidP="006E09C4">
      <w:pPr>
        <w:spacing w:after="0"/>
        <w:jc w:val="both"/>
        <w:rPr>
          <w:rFonts w:ascii="Arial" w:hAnsi="Arial" w:cs="Arial"/>
        </w:rPr>
      </w:pPr>
    </w:p>
    <w:p w14:paraId="497DED07" w14:textId="77777777" w:rsidR="006E09C4" w:rsidRPr="006862A9" w:rsidRDefault="006E09C4" w:rsidP="006E09C4">
      <w:pPr>
        <w:pStyle w:val="Tekstpodstawowy"/>
        <w:numPr>
          <w:ilvl w:val="3"/>
          <w:numId w:val="1"/>
        </w:numPr>
        <w:ind w:left="284" w:hanging="284"/>
        <w:jc w:val="left"/>
        <w:rPr>
          <w:rFonts w:ascii="Arial" w:hAnsi="Arial" w:cs="Arial"/>
          <w:sz w:val="22"/>
          <w:szCs w:val="22"/>
        </w:rPr>
      </w:pPr>
      <w:r w:rsidRPr="006862A9">
        <w:rPr>
          <w:rFonts w:ascii="Arial" w:hAnsi="Arial" w:cs="Arial"/>
          <w:sz w:val="22"/>
          <w:szCs w:val="22"/>
        </w:rPr>
        <w:t xml:space="preserve"> Zakres zamówienia.</w:t>
      </w:r>
    </w:p>
    <w:p w14:paraId="7EFB12D3" w14:textId="77777777" w:rsidR="006E09C4" w:rsidRPr="006862A9" w:rsidRDefault="006E09C4" w:rsidP="006E09C4">
      <w:pPr>
        <w:pStyle w:val="Tekstpodstawowy"/>
        <w:jc w:val="left"/>
        <w:rPr>
          <w:rFonts w:ascii="Arial" w:hAnsi="Arial" w:cs="Arial"/>
          <w:sz w:val="22"/>
          <w:szCs w:val="22"/>
        </w:rPr>
      </w:pPr>
    </w:p>
    <w:p w14:paraId="010E12C1" w14:textId="77777777" w:rsidR="006E09C4" w:rsidRPr="006862A9" w:rsidRDefault="006E09C4" w:rsidP="006E09C4">
      <w:pPr>
        <w:pStyle w:val="Bezodstpw"/>
        <w:rPr>
          <w:rFonts w:ascii="Arial" w:hAnsi="Arial" w:cs="Arial"/>
        </w:rPr>
      </w:pPr>
      <w:r w:rsidRPr="006862A9">
        <w:rPr>
          <w:rFonts w:ascii="Arial" w:hAnsi="Arial" w:cs="Arial"/>
        </w:rPr>
        <w:t>Zakres zamówienia obejmuje dostawę i montaż we wskazanych przez Zamawiającego lokalizacjach 1</w:t>
      </w:r>
      <w:r w:rsidR="001212B3">
        <w:rPr>
          <w:rFonts w:ascii="Arial" w:hAnsi="Arial" w:cs="Arial"/>
        </w:rPr>
        <w:t>8</w:t>
      </w:r>
      <w:r w:rsidRPr="006862A9">
        <w:rPr>
          <w:rFonts w:ascii="Arial" w:hAnsi="Arial" w:cs="Arial"/>
        </w:rPr>
        <w:t xml:space="preserve">0 szt. lamp solarnych autonomicznych LED zasilanych przy pomocy paneli PV. </w:t>
      </w:r>
    </w:p>
    <w:p w14:paraId="13F23162" w14:textId="77777777" w:rsidR="006E09C4" w:rsidRPr="006862A9" w:rsidRDefault="006E09C4" w:rsidP="006E09C4">
      <w:pPr>
        <w:pStyle w:val="Bezodstpw"/>
        <w:rPr>
          <w:rFonts w:ascii="Arial" w:hAnsi="Arial" w:cs="Arial"/>
        </w:rPr>
      </w:pPr>
    </w:p>
    <w:p w14:paraId="4D5D4A14" w14:textId="77777777" w:rsidR="006E09C4" w:rsidRPr="006862A9" w:rsidRDefault="006E09C4" w:rsidP="006E09C4">
      <w:pPr>
        <w:pStyle w:val="Tekstpodstawowy"/>
        <w:numPr>
          <w:ilvl w:val="3"/>
          <w:numId w:val="1"/>
        </w:numPr>
        <w:ind w:left="426" w:hanging="426"/>
        <w:jc w:val="left"/>
        <w:rPr>
          <w:rFonts w:ascii="Arial" w:hAnsi="Arial" w:cs="Arial"/>
          <w:b w:val="0"/>
          <w:bCs w:val="0"/>
          <w:sz w:val="22"/>
          <w:szCs w:val="22"/>
        </w:rPr>
      </w:pPr>
      <w:r w:rsidRPr="006862A9">
        <w:rPr>
          <w:rFonts w:ascii="Arial" w:hAnsi="Arial" w:cs="Arial"/>
          <w:sz w:val="22"/>
          <w:szCs w:val="22"/>
        </w:rPr>
        <w:t xml:space="preserve">Minimalne parametry techniczne rozwiązania solarnego </w:t>
      </w:r>
    </w:p>
    <w:p w14:paraId="0EEFBF91" w14:textId="77777777" w:rsidR="006E09C4" w:rsidRPr="006862A9" w:rsidRDefault="006E09C4" w:rsidP="006E09C4">
      <w:pPr>
        <w:pStyle w:val="Default"/>
        <w:rPr>
          <w:b/>
          <w:bCs/>
          <w:sz w:val="22"/>
          <w:szCs w:val="22"/>
        </w:rPr>
      </w:pPr>
    </w:p>
    <w:p w14:paraId="1E94D4D3" w14:textId="77777777" w:rsidR="006E09C4" w:rsidRPr="006862A9" w:rsidRDefault="006E09C4" w:rsidP="006E09C4">
      <w:pPr>
        <w:pStyle w:val="Default"/>
        <w:rPr>
          <w:b/>
          <w:bCs/>
          <w:sz w:val="22"/>
          <w:szCs w:val="22"/>
        </w:rPr>
      </w:pPr>
      <w:r w:rsidRPr="006862A9">
        <w:rPr>
          <w:b/>
          <w:bCs/>
          <w:sz w:val="22"/>
          <w:szCs w:val="22"/>
        </w:rPr>
        <w:t>Panel fotowoltaiczny:</w:t>
      </w:r>
    </w:p>
    <w:p w14:paraId="4EB57081" w14:textId="77777777" w:rsidR="006E09C4" w:rsidRPr="006862A9" w:rsidRDefault="006E09C4" w:rsidP="006E09C4">
      <w:pPr>
        <w:pStyle w:val="Default"/>
        <w:numPr>
          <w:ilvl w:val="0"/>
          <w:numId w:val="7"/>
        </w:numPr>
        <w:rPr>
          <w:sz w:val="22"/>
          <w:szCs w:val="22"/>
        </w:rPr>
      </w:pPr>
      <w:r w:rsidRPr="006862A9">
        <w:rPr>
          <w:sz w:val="22"/>
          <w:szCs w:val="22"/>
        </w:rPr>
        <w:t xml:space="preserve">Moc - 270 W </w:t>
      </w:r>
    </w:p>
    <w:p w14:paraId="21A9D424" w14:textId="77777777" w:rsidR="006E09C4" w:rsidRPr="006862A9" w:rsidRDefault="006E09C4" w:rsidP="006E09C4">
      <w:pPr>
        <w:pStyle w:val="Default"/>
        <w:numPr>
          <w:ilvl w:val="0"/>
          <w:numId w:val="7"/>
        </w:numPr>
        <w:rPr>
          <w:sz w:val="22"/>
          <w:szCs w:val="22"/>
        </w:rPr>
      </w:pPr>
      <w:r w:rsidRPr="006862A9">
        <w:rPr>
          <w:sz w:val="22"/>
          <w:szCs w:val="22"/>
        </w:rPr>
        <w:t>Materiał Ogniwa monokrystaliczne</w:t>
      </w:r>
    </w:p>
    <w:p w14:paraId="0B3C234D" w14:textId="77777777" w:rsidR="006E09C4" w:rsidRPr="006862A9" w:rsidRDefault="006E09C4" w:rsidP="006E09C4">
      <w:pPr>
        <w:pStyle w:val="Default"/>
        <w:numPr>
          <w:ilvl w:val="0"/>
          <w:numId w:val="7"/>
        </w:numPr>
        <w:rPr>
          <w:sz w:val="22"/>
          <w:szCs w:val="22"/>
        </w:rPr>
      </w:pPr>
      <w:r w:rsidRPr="006862A9">
        <w:rPr>
          <w:sz w:val="22"/>
          <w:szCs w:val="22"/>
        </w:rPr>
        <w:t>Uchwyt / stelaż panelu PV - Umożliwiający skierowanie go w kierunku południowym oraz pod odpowiednim kątem w stosunku do ziemi</w:t>
      </w:r>
    </w:p>
    <w:p w14:paraId="1D22F99F" w14:textId="77777777" w:rsidR="006E09C4" w:rsidRPr="006862A9" w:rsidRDefault="006E09C4" w:rsidP="006E09C4">
      <w:pPr>
        <w:pStyle w:val="Default"/>
        <w:numPr>
          <w:ilvl w:val="0"/>
          <w:numId w:val="7"/>
        </w:numPr>
        <w:rPr>
          <w:b/>
          <w:bCs/>
          <w:sz w:val="22"/>
          <w:szCs w:val="22"/>
        </w:rPr>
      </w:pPr>
      <w:r w:rsidRPr="006862A9">
        <w:rPr>
          <w:sz w:val="22"/>
          <w:szCs w:val="22"/>
        </w:rPr>
        <w:t>Materiał obudowy - aluminium</w:t>
      </w:r>
    </w:p>
    <w:p w14:paraId="61CF0886" w14:textId="77777777" w:rsidR="006E09C4" w:rsidRPr="006862A9" w:rsidRDefault="006E09C4" w:rsidP="006E09C4">
      <w:pPr>
        <w:pStyle w:val="Default"/>
        <w:rPr>
          <w:b/>
          <w:bCs/>
          <w:sz w:val="22"/>
          <w:szCs w:val="22"/>
        </w:rPr>
      </w:pPr>
    </w:p>
    <w:p w14:paraId="5E86EC9F" w14:textId="77777777" w:rsidR="006E09C4" w:rsidRPr="006862A9" w:rsidRDefault="006E09C4" w:rsidP="006E09C4">
      <w:pPr>
        <w:pStyle w:val="Default"/>
        <w:rPr>
          <w:b/>
          <w:bCs/>
          <w:sz w:val="22"/>
          <w:szCs w:val="22"/>
        </w:rPr>
      </w:pPr>
      <w:r w:rsidRPr="006862A9">
        <w:rPr>
          <w:b/>
          <w:bCs/>
          <w:sz w:val="22"/>
          <w:szCs w:val="22"/>
        </w:rPr>
        <w:t xml:space="preserve">Głowica lampy: </w:t>
      </w:r>
    </w:p>
    <w:p w14:paraId="793077D5" w14:textId="77777777" w:rsidR="006E09C4" w:rsidRPr="006862A9" w:rsidRDefault="006E09C4" w:rsidP="006E09C4">
      <w:pPr>
        <w:pStyle w:val="Default"/>
        <w:numPr>
          <w:ilvl w:val="0"/>
          <w:numId w:val="6"/>
        </w:numPr>
        <w:rPr>
          <w:sz w:val="22"/>
          <w:szCs w:val="22"/>
        </w:rPr>
      </w:pPr>
      <w:r w:rsidRPr="006862A9">
        <w:rPr>
          <w:sz w:val="22"/>
          <w:szCs w:val="22"/>
        </w:rPr>
        <w:t>Strumień świetlny miń. 9000 lm</w:t>
      </w:r>
    </w:p>
    <w:p w14:paraId="5372320B" w14:textId="77777777" w:rsidR="006E09C4" w:rsidRPr="006862A9" w:rsidRDefault="006E09C4" w:rsidP="006E09C4">
      <w:pPr>
        <w:pStyle w:val="Default"/>
        <w:numPr>
          <w:ilvl w:val="0"/>
          <w:numId w:val="6"/>
        </w:numPr>
        <w:rPr>
          <w:sz w:val="22"/>
          <w:szCs w:val="22"/>
        </w:rPr>
      </w:pPr>
      <w:r w:rsidRPr="006862A9">
        <w:rPr>
          <w:sz w:val="22"/>
          <w:szCs w:val="22"/>
        </w:rPr>
        <w:t>Moc świetlna 45 W</w:t>
      </w:r>
    </w:p>
    <w:p w14:paraId="5EF6C003" w14:textId="77777777" w:rsidR="006E09C4" w:rsidRPr="006862A9" w:rsidRDefault="006E09C4" w:rsidP="006E09C4">
      <w:pPr>
        <w:pStyle w:val="Default"/>
        <w:numPr>
          <w:ilvl w:val="0"/>
          <w:numId w:val="6"/>
        </w:numPr>
        <w:rPr>
          <w:sz w:val="22"/>
          <w:szCs w:val="22"/>
        </w:rPr>
      </w:pPr>
      <w:r w:rsidRPr="006862A9">
        <w:rPr>
          <w:sz w:val="22"/>
          <w:szCs w:val="22"/>
        </w:rPr>
        <w:t>Wydajność LED 190 lm / W</w:t>
      </w:r>
    </w:p>
    <w:p w14:paraId="3B312222" w14:textId="77777777" w:rsidR="006E09C4" w:rsidRPr="006862A9" w:rsidRDefault="006E09C4" w:rsidP="006E09C4">
      <w:pPr>
        <w:pStyle w:val="Default"/>
        <w:numPr>
          <w:ilvl w:val="0"/>
          <w:numId w:val="6"/>
        </w:numPr>
        <w:rPr>
          <w:sz w:val="22"/>
          <w:szCs w:val="22"/>
        </w:rPr>
      </w:pPr>
      <w:r w:rsidRPr="006862A9">
        <w:rPr>
          <w:sz w:val="22"/>
          <w:szCs w:val="22"/>
        </w:rPr>
        <w:t>Barwa światła 6000 K ÷ 6500 K</w:t>
      </w:r>
    </w:p>
    <w:p w14:paraId="66F75388" w14:textId="77777777" w:rsidR="006E09C4" w:rsidRPr="006862A9" w:rsidRDefault="006E09C4" w:rsidP="006E09C4">
      <w:pPr>
        <w:pStyle w:val="Default"/>
        <w:numPr>
          <w:ilvl w:val="0"/>
          <w:numId w:val="6"/>
        </w:numPr>
        <w:rPr>
          <w:sz w:val="22"/>
          <w:szCs w:val="22"/>
        </w:rPr>
      </w:pPr>
      <w:r w:rsidRPr="006862A9">
        <w:rPr>
          <w:sz w:val="22"/>
          <w:szCs w:val="22"/>
        </w:rPr>
        <w:t>Temperatura pracy od - 20 do + 60º C</w:t>
      </w:r>
    </w:p>
    <w:p w14:paraId="394C78CD" w14:textId="77777777" w:rsidR="006E09C4" w:rsidRPr="006862A9" w:rsidRDefault="006E09C4" w:rsidP="006E09C4">
      <w:pPr>
        <w:pStyle w:val="Default"/>
        <w:numPr>
          <w:ilvl w:val="0"/>
          <w:numId w:val="6"/>
        </w:numPr>
        <w:rPr>
          <w:sz w:val="22"/>
          <w:szCs w:val="22"/>
        </w:rPr>
      </w:pPr>
      <w:r w:rsidRPr="006862A9">
        <w:rPr>
          <w:sz w:val="22"/>
          <w:szCs w:val="22"/>
        </w:rPr>
        <w:t xml:space="preserve">Żywotność 60 000 h </w:t>
      </w:r>
    </w:p>
    <w:p w14:paraId="45C315A2" w14:textId="77777777" w:rsidR="006E09C4" w:rsidRPr="006862A9" w:rsidRDefault="006E09C4" w:rsidP="006E09C4">
      <w:pPr>
        <w:pStyle w:val="Default"/>
        <w:rPr>
          <w:b/>
          <w:bCs/>
          <w:sz w:val="22"/>
          <w:szCs w:val="22"/>
        </w:rPr>
      </w:pPr>
    </w:p>
    <w:p w14:paraId="6821B46D" w14:textId="77777777" w:rsidR="006E09C4" w:rsidRPr="006862A9" w:rsidRDefault="006E09C4" w:rsidP="006E09C4">
      <w:pPr>
        <w:pStyle w:val="Default"/>
        <w:rPr>
          <w:b/>
          <w:bCs/>
          <w:sz w:val="22"/>
          <w:szCs w:val="22"/>
        </w:rPr>
      </w:pPr>
      <w:r w:rsidRPr="006862A9">
        <w:rPr>
          <w:b/>
          <w:bCs/>
          <w:sz w:val="22"/>
          <w:szCs w:val="22"/>
        </w:rPr>
        <w:t>Bateria litowo-żelazowo-fosforanowa:</w:t>
      </w:r>
    </w:p>
    <w:p w14:paraId="7013ABDC" w14:textId="77777777" w:rsidR="006E09C4" w:rsidRPr="006862A9" w:rsidRDefault="006E09C4" w:rsidP="006E09C4">
      <w:pPr>
        <w:pStyle w:val="Default"/>
        <w:numPr>
          <w:ilvl w:val="0"/>
          <w:numId w:val="5"/>
        </w:numPr>
        <w:rPr>
          <w:sz w:val="22"/>
          <w:szCs w:val="22"/>
        </w:rPr>
      </w:pPr>
      <w:r w:rsidRPr="006862A9">
        <w:rPr>
          <w:sz w:val="22"/>
          <w:szCs w:val="22"/>
        </w:rPr>
        <w:t xml:space="preserve">Pojemność min 90 Ah </w:t>
      </w:r>
    </w:p>
    <w:p w14:paraId="3DB51733" w14:textId="6FFD1E26" w:rsidR="006E09C4" w:rsidRPr="006862A9" w:rsidRDefault="006E09C4" w:rsidP="006E09C4">
      <w:pPr>
        <w:pStyle w:val="Default"/>
        <w:numPr>
          <w:ilvl w:val="0"/>
          <w:numId w:val="5"/>
        </w:numPr>
        <w:rPr>
          <w:sz w:val="22"/>
          <w:szCs w:val="22"/>
        </w:rPr>
      </w:pPr>
      <w:r w:rsidRPr="006862A9">
        <w:rPr>
          <w:sz w:val="22"/>
          <w:szCs w:val="22"/>
        </w:rPr>
        <w:t>Ilość cykli ładowania 2000</w:t>
      </w:r>
      <w:r w:rsidR="00312AB2">
        <w:rPr>
          <w:sz w:val="22"/>
          <w:szCs w:val="22"/>
        </w:rPr>
        <w:t xml:space="preserve"> przy głębokości rozładowania 50% DoD</w:t>
      </w:r>
    </w:p>
    <w:p w14:paraId="6747D82A" w14:textId="77777777" w:rsidR="006E09C4" w:rsidRPr="006862A9" w:rsidRDefault="006E09C4" w:rsidP="006E09C4">
      <w:pPr>
        <w:pStyle w:val="Default"/>
        <w:numPr>
          <w:ilvl w:val="0"/>
          <w:numId w:val="5"/>
        </w:numPr>
        <w:rPr>
          <w:sz w:val="22"/>
          <w:szCs w:val="22"/>
        </w:rPr>
      </w:pPr>
      <w:r w:rsidRPr="006862A9">
        <w:rPr>
          <w:sz w:val="22"/>
          <w:szCs w:val="22"/>
        </w:rPr>
        <w:t xml:space="preserve">Umiejscowienie- Zabudowana w głowicy lampy </w:t>
      </w:r>
    </w:p>
    <w:p w14:paraId="4A3CBEE4" w14:textId="77777777" w:rsidR="006E09C4" w:rsidRPr="009D702A" w:rsidRDefault="006E09C4" w:rsidP="006E09C4">
      <w:pPr>
        <w:pStyle w:val="Default"/>
        <w:numPr>
          <w:ilvl w:val="0"/>
          <w:numId w:val="5"/>
        </w:numPr>
        <w:ind w:left="709"/>
        <w:rPr>
          <w:sz w:val="22"/>
          <w:szCs w:val="22"/>
        </w:rPr>
      </w:pPr>
      <w:r w:rsidRPr="009D702A">
        <w:rPr>
          <w:sz w:val="22"/>
          <w:szCs w:val="22"/>
        </w:rPr>
        <w:t>Należy uwzględnić wymianę akumulatora na nowy przy ostatnim przeglądzie gwarancyjnym tj. przed upływem gwarancji</w:t>
      </w:r>
    </w:p>
    <w:p w14:paraId="1773FF6E" w14:textId="77777777" w:rsidR="006E09C4" w:rsidRPr="006862A9" w:rsidRDefault="006E09C4" w:rsidP="006E09C4">
      <w:pPr>
        <w:pStyle w:val="Default"/>
        <w:numPr>
          <w:ilvl w:val="0"/>
          <w:numId w:val="5"/>
        </w:numPr>
        <w:rPr>
          <w:sz w:val="22"/>
          <w:szCs w:val="22"/>
        </w:rPr>
      </w:pPr>
      <w:r w:rsidRPr="006862A9">
        <w:rPr>
          <w:sz w:val="22"/>
          <w:szCs w:val="22"/>
        </w:rPr>
        <w:t>System prostej wymiany baterii</w:t>
      </w:r>
    </w:p>
    <w:p w14:paraId="581AE731" w14:textId="77777777" w:rsidR="006E09C4" w:rsidRPr="006862A9" w:rsidRDefault="006E09C4" w:rsidP="006E09C4">
      <w:pPr>
        <w:pStyle w:val="Default"/>
        <w:rPr>
          <w:b/>
          <w:bCs/>
          <w:sz w:val="22"/>
          <w:szCs w:val="22"/>
        </w:rPr>
      </w:pPr>
    </w:p>
    <w:p w14:paraId="1B24208A" w14:textId="77777777" w:rsidR="006E09C4" w:rsidRPr="006862A9" w:rsidRDefault="006E09C4" w:rsidP="006E09C4">
      <w:pPr>
        <w:pStyle w:val="Default"/>
        <w:rPr>
          <w:b/>
          <w:bCs/>
          <w:sz w:val="22"/>
          <w:szCs w:val="22"/>
        </w:rPr>
      </w:pPr>
      <w:r w:rsidRPr="006862A9">
        <w:rPr>
          <w:b/>
          <w:bCs/>
          <w:sz w:val="22"/>
          <w:szCs w:val="22"/>
        </w:rPr>
        <w:t xml:space="preserve">Montaż w gruncie: </w:t>
      </w:r>
    </w:p>
    <w:p w14:paraId="54010A86" w14:textId="77777777" w:rsidR="006E09C4" w:rsidRPr="006862A9" w:rsidRDefault="006E09C4" w:rsidP="006E09C4">
      <w:pPr>
        <w:pStyle w:val="Default"/>
        <w:numPr>
          <w:ilvl w:val="0"/>
          <w:numId w:val="8"/>
        </w:numPr>
        <w:rPr>
          <w:sz w:val="22"/>
          <w:szCs w:val="22"/>
        </w:rPr>
      </w:pPr>
      <w:r w:rsidRPr="006862A9">
        <w:rPr>
          <w:sz w:val="22"/>
          <w:szCs w:val="22"/>
        </w:rPr>
        <w:t xml:space="preserve">Montaż/ Osadzenie fundamentów należy wykonać w podłożu zgodnym z </w:t>
      </w:r>
      <w:r>
        <w:rPr>
          <w:sz w:val="22"/>
          <w:szCs w:val="22"/>
        </w:rPr>
        <w:t>p</w:t>
      </w:r>
      <w:r w:rsidRPr="006862A9">
        <w:rPr>
          <w:sz w:val="22"/>
          <w:szCs w:val="22"/>
        </w:rPr>
        <w:t xml:space="preserve">arametrami określonymi przez producenta fundamentu oraz ustawą Prawo Budowlane </w:t>
      </w:r>
    </w:p>
    <w:p w14:paraId="46FD9FF4" w14:textId="77777777" w:rsidR="006E09C4" w:rsidRPr="006862A9" w:rsidRDefault="006E09C4" w:rsidP="006E09C4">
      <w:pPr>
        <w:pStyle w:val="Default"/>
        <w:rPr>
          <w:sz w:val="22"/>
          <w:szCs w:val="22"/>
        </w:rPr>
      </w:pPr>
      <w:r w:rsidRPr="006862A9">
        <w:rPr>
          <w:b/>
          <w:bCs/>
          <w:sz w:val="22"/>
          <w:szCs w:val="22"/>
        </w:rPr>
        <w:t xml:space="preserve"> </w:t>
      </w:r>
    </w:p>
    <w:p w14:paraId="0AEE355A" w14:textId="77777777" w:rsidR="006E09C4" w:rsidRPr="006862A9" w:rsidRDefault="006E09C4" w:rsidP="006E09C4">
      <w:pPr>
        <w:pStyle w:val="Default"/>
        <w:rPr>
          <w:color w:val="auto"/>
          <w:sz w:val="22"/>
          <w:szCs w:val="22"/>
        </w:rPr>
      </w:pPr>
      <w:r w:rsidRPr="006862A9">
        <w:rPr>
          <w:b/>
          <w:bCs/>
          <w:sz w:val="22"/>
          <w:szCs w:val="22"/>
        </w:rPr>
        <w:t xml:space="preserve">Sterowanie / Zarządzanie trybami pracy lampy: </w:t>
      </w:r>
    </w:p>
    <w:p w14:paraId="6F816BC6" w14:textId="77777777" w:rsidR="006E09C4" w:rsidRPr="006862A9" w:rsidRDefault="006E09C4" w:rsidP="006E09C4">
      <w:pPr>
        <w:pStyle w:val="Default"/>
        <w:numPr>
          <w:ilvl w:val="0"/>
          <w:numId w:val="4"/>
        </w:numPr>
        <w:rPr>
          <w:color w:val="auto"/>
          <w:sz w:val="22"/>
          <w:szCs w:val="22"/>
        </w:rPr>
      </w:pPr>
      <w:r w:rsidRPr="006862A9">
        <w:rPr>
          <w:sz w:val="22"/>
          <w:szCs w:val="22"/>
        </w:rPr>
        <w:t xml:space="preserve">Czujnik zmierzchu </w:t>
      </w:r>
    </w:p>
    <w:p w14:paraId="53107FF8" w14:textId="77777777" w:rsidR="006E09C4" w:rsidRPr="006862A9" w:rsidRDefault="006E09C4" w:rsidP="006E09C4">
      <w:pPr>
        <w:pStyle w:val="Akapitzlist"/>
        <w:numPr>
          <w:ilvl w:val="0"/>
          <w:numId w:val="4"/>
        </w:numPr>
        <w:autoSpaceDE w:val="0"/>
        <w:autoSpaceDN w:val="0"/>
        <w:adjustRightInd w:val="0"/>
        <w:spacing w:after="0" w:line="240" w:lineRule="auto"/>
        <w:rPr>
          <w:rFonts w:ascii="Arial" w:hAnsi="Arial" w:cs="Arial"/>
          <w:color w:val="000000"/>
        </w:rPr>
      </w:pPr>
      <w:r w:rsidRPr="006862A9">
        <w:rPr>
          <w:rFonts w:ascii="Arial" w:hAnsi="Arial" w:cs="Arial"/>
          <w:color w:val="000000"/>
        </w:rPr>
        <w:t>Sterowanie pilotem bądź aplikacją</w:t>
      </w:r>
    </w:p>
    <w:p w14:paraId="3B0A1C72" w14:textId="77777777" w:rsidR="006E09C4" w:rsidRPr="006862A9" w:rsidRDefault="006E09C4" w:rsidP="006E09C4">
      <w:pPr>
        <w:pStyle w:val="Akapitzlist"/>
        <w:numPr>
          <w:ilvl w:val="0"/>
          <w:numId w:val="4"/>
        </w:numPr>
        <w:autoSpaceDE w:val="0"/>
        <w:autoSpaceDN w:val="0"/>
        <w:adjustRightInd w:val="0"/>
        <w:spacing w:after="0" w:line="240" w:lineRule="auto"/>
        <w:rPr>
          <w:rFonts w:ascii="Arial" w:hAnsi="Arial" w:cs="Arial"/>
          <w:color w:val="000000"/>
        </w:rPr>
      </w:pPr>
      <w:r w:rsidRPr="006862A9">
        <w:rPr>
          <w:rFonts w:ascii="Arial" w:hAnsi="Arial" w:cs="Arial"/>
          <w:color w:val="000000"/>
        </w:rPr>
        <w:t xml:space="preserve">4 tryby pracy – dostosowane do warunków klimatycznych różnych pór roku </w:t>
      </w:r>
    </w:p>
    <w:p w14:paraId="0DF2029B" w14:textId="77777777" w:rsidR="006E09C4" w:rsidRPr="006862A9" w:rsidRDefault="006E09C4" w:rsidP="006E09C4">
      <w:pPr>
        <w:pStyle w:val="Akapitzlist"/>
        <w:numPr>
          <w:ilvl w:val="0"/>
          <w:numId w:val="4"/>
        </w:numPr>
        <w:autoSpaceDE w:val="0"/>
        <w:autoSpaceDN w:val="0"/>
        <w:adjustRightInd w:val="0"/>
        <w:spacing w:after="0" w:line="240" w:lineRule="auto"/>
        <w:rPr>
          <w:rFonts w:ascii="Arial" w:hAnsi="Arial" w:cs="Arial"/>
          <w:color w:val="000000"/>
        </w:rPr>
      </w:pPr>
      <w:r w:rsidRPr="006862A9">
        <w:rPr>
          <w:rFonts w:ascii="Arial" w:hAnsi="Arial" w:cs="Arial"/>
          <w:color w:val="000000"/>
        </w:rPr>
        <w:lastRenderedPageBreak/>
        <w:t xml:space="preserve">Możliwość programowania indywidualnych trybów pracy adekwatnie do pory roku i potrzeb klienta: - czas i moc świecenia w określonych godzinach po zmierzchu, przerwa nocna </w:t>
      </w:r>
    </w:p>
    <w:p w14:paraId="185AA8D6" w14:textId="77777777" w:rsidR="006E09C4" w:rsidRPr="006862A9" w:rsidRDefault="006E09C4" w:rsidP="006E09C4">
      <w:pPr>
        <w:pStyle w:val="Akapitzlist"/>
        <w:numPr>
          <w:ilvl w:val="0"/>
          <w:numId w:val="4"/>
        </w:numPr>
        <w:autoSpaceDE w:val="0"/>
        <w:autoSpaceDN w:val="0"/>
        <w:adjustRightInd w:val="0"/>
        <w:spacing w:after="0" w:line="240" w:lineRule="auto"/>
        <w:rPr>
          <w:rFonts w:ascii="Arial" w:hAnsi="Arial" w:cs="Arial"/>
          <w:color w:val="000000"/>
        </w:rPr>
      </w:pPr>
      <w:r w:rsidRPr="006862A9">
        <w:rPr>
          <w:rFonts w:ascii="Arial" w:hAnsi="Arial" w:cs="Arial"/>
          <w:color w:val="000000"/>
        </w:rPr>
        <w:t xml:space="preserve">Opóźnienie załączenia po zachodzie słońca </w:t>
      </w:r>
    </w:p>
    <w:p w14:paraId="690BD9E1" w14:textId="77777777" w:rsidR="006E09C4" w:rsidRPr="006862A9" w:rsidRDefault="006E09C4" w:rsidP="006E09C4">
      <w:pPr>
        <w:pStyle w:val="Akapitzlist"/>
        <w:numPr>
          <w:ilvl w:val="0"/>
          <w:numId w:val="4"/>
        </w:numPr>
        <w:autoSpaceDE w:val="0"/>
        <w:autoSpaceDN w:val="0"/>
        <w:adjustRightInd w:val="0"/>
        <w:spacing w:after="0" w:line="240" w:lineRule="auto"/>
        <w:rPr>
          <w:rFonts w:ascii="Arial" w:hAnsi="Arial" w:cs="Arial"/>
          <w:color w:val="000000"/>
        </w:rPr>
      </w:pPr>
      <w:r w:rsidRPr="006862A9">
        <w:rPr>
          <w:rFonts w:ascii="Arial" w:hAnsi="Arial" w:cs="Arial"/>
          <w:color w:val="000000"/>
        </w:rPr>
        <w:t xml:space="preserve">Czujnik ruchu pozwalający na zwiększenie natężenia światła w przypadku wykrycia ruchu </w:t>
      </w:r>
    </w:p>
    <w:p w14:paraId="06B2792A" w14:textId="77777777" w:rsidR="006E09C4" w:rsidRPr="006862A9" w:rsidRDefault="006E09C4" w:rsidP="006E09C4">
      <w:pPr>
        <w:pStyle w:val="Default"/>
        <w:rPr>
          <w:b/>
          <w:bCs/>
          <w:sz w:val="22"/>
          <w:szCs w:val="22"/>
        </w:rPr>
      </w:pPr>
      <w:r w:rsidRPr="006862A9">
        <w:rPr>
          <w:b/>
          <w:bCs/>
          <w:sz w:val="22"/>
          <w:szCs w:val="22"/>
        </w:rPr>
        <w:t xml:space="preserve"> </w:t>
      </w:r>
    </w:p>
    <w:p w14:paraId="07DEED5E" w14:textId="77777777" w:rsidR="006E09C4" w:rsidRPr="006862A9" w:rsidRDefault="006E09C4" w:rsidP="006E09C4">
      <w:pPr>
        <w:pStyle w:val="Default"/>
        <w:rPr>
          <w:b/>
          <w:bCs/>
          <w:sz w:val="22"/>
          <w:szCs w:val="22"/>
        </w:rPr>
      </w:pPr>
      <w:r w:rsidRPr="006862A9">
        <w:rPr>
          <w:b/>
          <w:bCs/>
          <w:sz w:val="22"/>
          <w:szCs w:val="22"/>
        </w:rPr>
        <w:t>Regulator lamy solarnej:</w:t>
      </w:r>
    </w:p>
    <w:p w14:paraId="0E44EFF7" w14:textId="77777777" w:rsidR="006E09C4" w:rsidRPr="006862A9" w:rsidRDefault="006E09C4" w:rsidP="006E09C4">
      <w:pPr>
        <w:pStyle w:val="Default"/>
        <w:numPr>
          <w:ilvl w:val="0"/>
          <w:numId w:val="11"/>
        </w:numPr>
        <w:rPr>
          <w:sz w:val="22"/>
          <w:szCs w:val="22"/>
        </w:rPr>
      </w:pPr>
      <w:r w:rsidRPr="006862A9">
        <w:rPr>
          <w:sz w:val="22"/>
          <w:szCs w:val="22"/>
        </w:rPr>
        <w:t>Wymagany regulator MPPT</w:t>
      </w:r>
    </w:p>
    <w:p w14:paraId="05B68EC8" w14:textId="77777777" w:rsidR="006E09C4" w:rsidRPr="006862A9" w:rsidRDefault="006E09C4" w:rsidP="006E09C4">
      <w:pPr>
        <w:pStyle w:val="Default"/>
        <w:rPr>
          <w:sz w:val="22"/>
          <w:szCs w:val="22"/>
        </w:rPr>
      </w:pPr>
    </w:p>
    <w:p w14:paraId="47903D09" w14:textId="77777777" w:rsidR="006E09C4" w:rsidRPr="006862A9" w:rsidRDefault="006E09C4" w:rsidP="006E09C4">
      <w:pPr>
        <w:pStyle w:val="Default"/>
        <w:rPr>
          <w:b/>
          <w:bCs/>
          <w:sz w:val="22"/>
          <w:szCs w:val="22"/>
        </w:rPr>
      </w:pPr>
      <w:r w:rsidRPr="006862A9">
        <w:rPr>
          <w:b/>
          <w:bCs/>
          <w:sz w:val="22"/>
          <w:szCs w:val="22"/>
        </w:rPr>
        <w:t xml:space="preserve">Słupy: </w:t>
      </w:r>
    </w:p>
    <w:p w14:paraId="03826CD2" w14:textId="77777777" w:rsidR="006E09C4" w:rsidRPr="006862A9" w:rsidRDefault="006E09C4" w:rsidP="006E09C4">
      <w:pPr>
        <w:pStyle w:val="Default"/>
        <w:numPr>
          <w:ilvl w:val="0"/>
          <w:numId w:val="11"/>
        </w:numPr>
        <w:rPr>
          <w:sz w:val="22"/>
          <w:szCs w:val="22"/>
        </w:rPr>
      </w:pPr>
      <w:r w:rsidRPr="006862A9">
        <w:rPr>
          <w:sz w:val="22"/>
          <w:szCs w:val="22"/>
        </w:rPr>
        <w:t xml:space="preserve">Słup – stal ocynkowana z malowaniem proszkowym </w:t>
      </w:r>
    </w:p>
    <w:p w14:paraId="3D957301" w14:textId="77777777" w:rsidR="006E09C4" w:rsidRPr="006862A9" w:rsidRDefault="006E09C4" w:rsidP="006E09C4">
      <w:pPr>
        <w:pStyle w:val="Default"/>
        <w:numPr>
          <w:ilvl w:val="0"/>
          <w:numId w:val="9"/>
        </w:numPr>
        <w:rPr>
          <w:sz w:val="22"/>
          <w:szCs w:val="22"/>
        </w:rPr>
      </w:pPr>
      <w:r w:rsidRPr="006862A9">
        <w:rPr>
          <w:sz w:val="22"/>
          <w:szCs w:val="22"/>
        </w:rPr>
        <w:t xml:space="preserve">Słupy muszą posiadać odpowiedni certyfikat adekwatnie do masy i powierzchni zamontowanych opraw świetlnych, paneli fotowoltaicznych i ich stelaży. Wymagane jest również oświadczenie producenta słupów wskazujące, iż może być on przeznaczony do montażu na nim lamp solarnych oraz wskazujące na maksymalne dopuszczalne obciążenie słupa masą oraz powierzchnią wiatrową oprawy solarnej wraz z panelem PV, stelażem. </w:t>
      </w:r>
    </w:p>
    <w:p w14:paraId="2969C87A" w14:textId="77777777" w:rsidR="006E09C4" w:rsidRPr="006862A9" w:rsidRDefault="006E09C4" w:rsidP="006E09C4">
      <w:pPr>
        <w:pStyle w:val="Default"/>
        <w:numPr>
          <w:ilvl w:val="0"/>
          <w:numId w:val="9"/>
        </w:numPr>
        <w:rPr>
          <w:sz w:val="22"/>
          <w:szCs w:val="22"/>
        </w:rPr>
      </w:pPr>
      <w:r w:rsidRPr="006862A9">
        <w:rPr>
          <w:sz w:val="22"/>
          <w:szCs w:val="22"/>
        </w:rPr>
        <w:t xml:space="preserve">Minimalna wysokość montażu oprawy 6m. </w:t>
      </w:r>
      <w:r w:rsidRPr="006862A9">
        <w:rPr>
          <w:b/>
          <w:bCs/>
          <w:sz w:val="22"/>
          <w:szCs w:val="22"/>
        </w:rPr>
        <w:t xml:space="preserve"> </w:t>
      </w:r>
    </w:p>
    <w:p w14:paraId="5A3CC55D" w14:textId="77777777" w:rsidR="006E09C4" w:rsidRPr="006862A9" w:rsidRDefault="006E09C4" w:rsidP="006E09C4">
      <w:pPr>
        <w:pStyle w:val="Default"/>
        <w:numPr>
          <w:ilvl w:val="0"/>
          <w:numId w:val="9"/>
        </w:numPr>
        <w:rPr>
          <w:sz w:val="22"/>
          <w:szCs w:val="22"/>
        </w:rPr>
      </w:pPr>
      <w:r w:rsidRPr="006862A9">
        <w:rPr>
          <w:sz w:val="22"/>
          <w:szCs w:val="22"/>
        </w:rPr>
        <w:t>Regulowany kąt nachylenia panelu solarnego w celu właściwego doświetlenia terenu.</w:t>
      </w:r>
    </w:p>
    <w:p w14:paraId="686C60D7" w14:textId="77777777" w:rsidR="006E09C4" w:rsidRPr="006862A9" w:rsidRDefault="006E09C4" w:rsidP="006E09C4">
      <w:pPr>
        <w:pStyle w:val="Default"/>
        <w:numPr>
          <w:ilvl w:val="0"/>
          <w:numId w:val="9"/>
        </w:numPr>
        <w:rPr>
          <w:sz w:val="22"/>
          <w:szCs w:val="22"/>
        </w:rPr>
      </w:pPr>
      <w:r w:rsidRPr="006862A9">
        <w:rPr>
          <w:sz w:val="22"/>
          <w:szCs w:val="22"/>
        </w:rPr>
        <w:t>Minimalna długość wysięgnika dla montażu oprawy 80cm, a maksymalna 150cm.</w:t>
      </w:r>
    </w:p>
    <w:p w14:paraId="20CC1311" w14:textId="77777777" w:rsidR="006E09C4" w:rsidRPr="006862A9" w:rsidRDefault="006E09C4" w:rsidP="006E09C4">
      <w:pPr>
        <w:pStyle w:val="Default"/>
        <w:ind w:left="720"/>
        <w:rPr>
          <w:sz w:val="22"/>
          <w:szCs w:val="22"/>
        </w:rPr>
      </w:pPr>
    </w:p>
    <w:p w14:paraId="5004296C" w14:textId="77777777" w:rsidR="006E09C4" w:rsidRPr="006862A9" w:rsidRDefault="006E09C4" w:rsidP="006E09C4">
      <w:pPr>
        <w:rPr>
          <w:rFonts w:ascii="Arial" w:hAnsi="Arial" w:cs="Arial"/>
          <w:b/>
          <w:bCs/>
          <w:color w:val="000000"/>
        </w:rPr>
      </w:pPr>
      <w:r w:rsidRPr="006862A9">
        <w:rPr>
          <w:rFonts w:ascii="Arial" w:hAnsi="Arial" w:cs="Arial"/>
          <w:b/>
          <w:bCs/>
          <w:color w:val="000000"/>
        </w:rPr>
        <w:t>Instalacja</w:t>
      </w:r>
      <w:r w:rsidRPr="006862A9">
        <w:rPr>
          <w:rFonts w:ascii="Arial" w:hAnsi="Arial" w:cs="Arial"/>
          <w:b/>
          <w:bCs/>
        </w:rPr>
        <w:t xml:space="preserve">: </w:t>
      </w:r>
      <w:r w:rsidRPr="006862A9">
        <w:rPr>
          <w:rFonts w:ascii="Arial" w:hAnsi="Arial" w:cs="Arial"/>
          <w:b/>
          <w:bCs/>
          <w:color w:val="000000"/>
        </w:rPr>
        <w:t xml:space="preserve"> </w:t>
      </w:r>
    </w:p>
    <w:p w14:paraId="4AB6018E" w14:textId="77777777" w:rsidR="006E09C4" w:rsidRPr="006862A9" w:rsidRDefault="006E09C4" w:rsidP="006E09C4">
      <w:pPr>
        <w:pStyle w:val="Akapitzlist"/>
        <w:numPr>
          <w:ilvl w:val="0"/>
          <w:numId w:val="10"/>
        </w:numPr>
        <w:spacing w:after="160" w:line="259" w:lineRule="auto"/>
        <w:rPr>
          <w:rFonts w:ascii="Arial" w:hAnsi="Arial" w:cs="Arial"/>
        </w:rPr>
      </w:pPr>
      <w:r w:rsidRPr="006862A9">
        <w:rPr>
          <w:rFonts w:ascii="Arial" w:hAnsi="Arial" w:cs="Arial"/>
          <w:color w:val="000000"/>
        </w:rPr>
        <w:t>Kable łączące lampę z panelem PV, przewody do sterownika winny być umieszczone wewnątrz słupa. Uchwyty montażowe lamp muszą gwarantować możliwość skierowania strumienia światła pod kątem 10º ÷ 20º w celu doświetlenia właściwego terenu</w:t>
      </w:r>
      <w:r w:rsidRPr="006862A9">
        <w:rPr>
          <w:rFonts w:ascii="Arial" w:hAnsi="Arial" w:cs="Arial"/>
        </w:rPr>
        <w:t>. Odporność na warunki otoczenia IP65</w:t>
      </w:r>
    </w:p>
    <w:p w14:paraId="43667EF3" w14:textId="77777777" w:rsidR="006E09C4" w:rsidRPr="006862A9" w:rsidRDefault="006E09C4" w:rsidP="006E09C4">
      <w:pPr>
        <w:pStyle w:val="Default"/>
        <w:rPr>
          <w:b/>
          <w:bCs/>
          <w:sz w:val="22"/>
          <w:szCs w:val="22"/>
        </w:rPr>
      </w:pPr>
      <w:r w:rsidRPr="006862A9">
        <w:rPr>
          <w:b/>
          <w:bCs/>
          <w:sz w:val="22"/>
          <w:szCs w:val="22"/>
        </w:rPr>
        <w:t xml:space="preserve">Fundament: </w:t>
      </w:r>
    </w:p>
    <w:p w14:paraId="4E210C5D" w14:textId="77777777" w:rsidR="006E09C4" w:rsidRPr="006862A9" w:rsidRDefault="006E09C4" w:rsidP="006E09C4">
      <w:pPr>
        <w:pStyle w:val="Default"/>
        <w:numPr>
          <w:ilvl w:val="0"/>
          <w:numId w:val="9"/>
        </w:numPr>
        <w:rPr>
          <w:sz w:val="22"/>
          <w:szCs w:val="22"/>
        </w:rPr>
      </w:pPr>
      <w:r w:rsidRPr="006862A9">
        <w:rPr>
          <w:sz w:val="22"/>
          <w:szCs w:val="22"/>
        </w:rPr>
        <w:t xml:space="preserve">Betonowy, prefabrykowany, powinien być przeliczony ze wzglądu na wagę całości lampy oraz spełniać warunki wytrzymałościowe. </w:t>
      </w:r>
    </w:p>
    <w:p w14:paraId="64E42EB0" w14:textId="77777777" w:rsidR="006E09C4" w:rsidRPr="006862A9" w:rsidRDefault="006E09C4" w:rsidP="006E09C4">
      <w:pPr>
        <w:pStyle w:val="Default"/>
        <w:numPr>
          <w:ilvl w:val="0"/>
          <w:numId w:val="9"/>
        </w:numPr>
        <w:rPr>
          <w:sz w:val="22"/>
          <w:szCs w:val="22"/>
        </w:rPr>
      </w:pPr>
      <w:r w:rsidRPr="006862A9">
        <w:rPr>
          <w:sz w:val="22"/>
          <w:szCs w:val="22"/>
        </w:rPr>
        <w:t>Montaż / osadzenie fundamentu należy wykonać w podłożu (wymiana podłoża) zgodnym z parametrami określonym przez producenta oraz warunkami technicznymi.</w:t>
      </w:r>
    </w:p>
    <w:p w14:paraId="20E00D27" w14:textId="77777777" w:rsidR="006E09C4" w:rsidRPr="006862A9" w:rsidRDefault="006E09C4" w:rsidP="006E09C4">
      <w:pPr>
        <w:pStyle w:val="Bezodstpw"/>
        <w:rPr>
          <w:rFonts w:ascii="Arial" w:hAnsi="Arial" w:cs="Arial"/>
        </w:rPr>
      </w:pPr>
      <w:r w:rsidRPr="006862A9">
        <w:rPr>
          <w:rFonts w:ascii="Arial" w:hAnsi="Arial" w:cs="Arial"/>
        </w:rPr>
        <w:t xml:space="preserve"> </w:t>
      </w:r>
    </w:p>
    <w:p w14:paraId="4E654445" w14:textId="77777777" w:rsidR="006E09C4" w:rsidRPr="006862A9" w:rsidRDefault="006E09C4" w:rsidP="006E09C4">
      <w:pPr>
        <w:pStyle w:val="Bezodstpw"/>
        <w:numPr>
          <w:ilvl w:val="3"/>
          <w:numId w:val="1"/>
        </w:numPr>
        <w:ind w:left="426" w:hanging="426"/>
        <w:rPr>
          <w:rFonts w:ascii="Arial" w:hAnsi="Arial" w:cs="Arial"/>
          <w:b/>
          <w:bCs/>
        </w:rPr>
      </w:pPr>
      <w:r w:rsidRPr="006862A9">
        <w:rPr>
          <w:rFonts w:ascii="Arial" w:hAnsi="Arial" w:cs="Arial"/>
          <w:b/>
          <w:bCs/>
        </w:rPr>
        <w:t>Wykonanie prac.</w:t>
      </w:r>
    </w:p>
    <w:p w14:paraId="1DF8E043" w14:textId="77777777" w:rsidR="006E09C4" w:rsidRPr="006862A9" w:rsidRDefault="006E09C4" w:rsidP="006E09C4">
      <w:pPr>
        <w:pStyle w:val="Bezodstpw"/>
        <w:ind w:left="360"/>
        <w:rPr>
          <w:rFonts w:ascii="Arial" w:eastAsia="Times New Roman" w:hAnsi="Arial" w:cs="Arial"/>
        </w:rPr>
      </w:pPr>
    </w:p>
    <w:p w14:paraId="6FC031F8" w14:textId="77777777" w:rsidR="006E09C4" w:rsidRPr="006862A9" w:rsidRDefault="006E09C4" w:rsidP="006E09C4">
      <w:pPr>
        <w:pStyle w:val="Bezodstpw"/>
        <w:numPr>
          <w:ilvl w:val="0"/>
          <w:numId w:val="2"/>
        </w:numPr>
        <w:jc w:val="both"/>
        <w:rPr>
          <w:rFonts w:ascii="Arial" w:eastAsia="Times New Roman" w:hAnsi="Arial" w:cs="Arial"/>
        </w:rPr>
      </w:pPr>
      <w:r w:rsidRPr="006862A9">
        <w:rPr>
          <w:rFonts w:ascii="Arial" w:eastAsia="Times New Roman" w:hAnsi="Arial" w:cs="Arial"/>
        </w:rPr>
        <w:t>Wykonawca zobowiązany jest do zrealizowania pełnego zakresu rzeczowego niniejszego zamówienia z należytą starannością, zgodnie z warunkami przedmiotowego postępowania opisanymi w SWZ (z załącznikami), obowiązującymi przepisami prawa, w tym określonymi w ustawie z dnia 7 lipca 1994 r. Prawo budowlane (</w:t>
      </w:r>
      <w:r w:rsidRPr="001D452C">
        <w:rPr>
          <w:rFonts w:ascii="Arial" w:eastAsia="Times New Roman" w:hAnsi="Arial" w:cs="Arial"/>
        </w:rPr>
        <w:t>Dz.U.2025.418 t.j. z dnia 2025.04.01</w:t>
      </w:r>
      <w:r w:rsidRPr="006862A9">
        <w:rPr>
          <w:rFonts w:ascii="Arial" w:eastAsia="Times New Roman" w:hAnsi="Arial" w:cs="Arial"/>
        </w:rPr>
        <w:t>), zgodnie z zasadami sztuki budowlanej, obowiązującymi normami, ofertą Wykonawcy oraz ustaleniami z Zamawiającym.</w:t>
      </w:r>
    </w:p>
    <w:p w14:paraId="3B49E9CF" w14:textId="77777777" w:rsidR="006E09C4" w:rsidRPr="006862A9" w:rsidRDefault="006E09C4" w:rsidP="006E09C4">
      <w:pPr>
        <w:pStyle w:val="Akapitzlist"/>
        <w:numPr>
          <w:ilvl w:val="0"/>
          <w:numId w:val="2"/>
        </w:numPr>
        <w:jc w:val="both"/>
        <w:rPr>
          <w:rFonts w:ascii="Arial" w:eastAsia="Times New Roman" w:hAnsi="Arial" w:cs="Arial"/>
        </w:rPr>
      </w:pPr>
      <w:r w:rsidRPr="006862A9">
        <w:rPr>
          <w:rFonts w:ascii="Arial" w:eastAsia="Times New Roman" w:hAnsi="Arial" w:cs="Arial"/>
        </w:rPr>
        <w:t>Zamawiający nie zastrzega obowiązku osobistego wykonania przez Wykonawcę kluczowych zadań przedmiotu zamówienia.</w:t>
      </w:r>
    </w:p>
    <w:p w14:paraId="1D9B87A3" w14:textId="77777777" w:rsidR="006E09C4" w:rsidRPr="006862A9" w:rsidRDefault="006E09C4" w:rsidP="006E09C4">
      <w:pPr>
        <w:pStyle w:val="Akapitzlist"/>
        <w:numPr>
          <w:ilvl w:val="0"/>
          <w:numId w:val="2"/>
        </w:numPr>
        <w:jc w:val="both"/>
        <w:rPr>
          <w:rFonts w:ascii="Arial" w:eastAsia="Times New Roman" w:hAnsi="Arial" w:cs="Arial"/>
        </w:rPr>
      </w:pPr>
      <w:r w:rsidRPr="006862A9">
        <w:rPr>
          <w:rFonts w:ascii="Arial" w:eastAsia="Times New Roman" w:hAnsi="Arial" w:cs="Arial"/>
        </w:rPr>
        <w:t>Kody według Wspólnego Słownika Zamówień Publicznych (CPV):</w:t>
      </w:r>
    </w:p>
    <w:p w14:paraId="72AF3F18" w14:textId="77777777" w:rsidR="006E09C4" w:rsidRPr="006862A9" w:rsidRDefault="006E09C4" w:rsidP="006E09C4">
      <w:pPr>
        <w:pStyle w:val="Bezodstpw"/>
        <w:ind w:left="567"/>
        <w:rPr>
          <w:rFonts w:ascii="Arial" w:eastAsia="Times New Roman" w:hAnsi="Arial" w:cs="Arial"/>
        </w:rPr>
      </w:pPr>
      <w:r w:rsidRPr="006862A9">
        <w:rPr>
          <w:rFonts w:ascii="Arial" w:eastAsia="Times New Roman" w:hAnsi="Arial" w:cs="Arial"/>
        </w:rPr>
        <w:t>- 31521000-4 Lampy</w:t>
      </w:r>
    </w:p>
    <w:p w14:paraId="4814757A" w14:textId="77777777" w:rsidR="006E09C4" w:rsidRPr="006862A9" w:rsidRDefault="006E09C4" w:rsidP="006E09C4">
      <w:pPr>
        <w:pStyle w:val="Bezodstpw"/>
        <w:ind w:left="567"/>
        <w:rPr>
          <w:rFonts w:ascii="Arial" w:eastAsia="Times New Roman" w:hAnsi="Arial" w:cs="Arial"/>
        </w:rPr>
      </w:pPr>
      <w:r w:rsidRPr="006862A9">
        <w:rPr>
          <w:rFonts w:ascii="Arial" w:eastAsia="Times New Roman" w:hAnsi="Arial" w:cs="Arial"/>
        </w:rPr>
        <w:t>- 31521200-6 Lampy stojące</w:t>
      </w:r>
    </w:p>
    <w:p w14:paraId="53EBA99A" w14:textId="77777777" w:rsidR="006E09C4" w:rsidRPr="006862A9" w:rsidRDefault="006E09C4" w:rsidP="006E09C4">
      <w:pPr>
        <w:pStyle w:val="Bezodstpw"/>
        <w:ind w:left="567"/>
        <w:rPr>
          <w:rFonts w:ascii="Arial" w:eastAsia="Times New Roman" w:hAnsi="Arial" w:cs="Arial"/>
        </w:rPr>
      </w:pPr>
      <w:r w:rsidRPr="006862A9">
        <w:rPr>
          <w:rFonts w:ascii="Arial" w:eastAsia="Times New Roman" w:hAnsi="Arial" w:cs="Arial"/>
        </w:rPr>
        <w:t>- 31527200-8 Oświetlenie zewnętrzne</w:t>
      </w:r>
    </w:p>
    <w:p w14:paraId="12D66273" w14:textId="77777777" w:rsidR="006E09C4" w:rsidRPr="006862A9" w:rsidRDefault="006E09C4" w:rsidP="006E09C4">
      <w:pPr>
        <w:pStyle w:val="Bezodstpw"/>
        <w:ind w:left="567"/>
        <w:rPr>
          <w:rFonts w:ascii="Arial" w:eastAsia="Times New Roman" w:hAnsi="Arial" w:cs="Arial"/>
        </w:rPr>
      </w:pPr>
      <w:r w:rsidRPr="006862A9">
        <w:rPr>
          <w:rFonts w:ascii="Arial" w:eastAsia="Times New Roman" w:hAnsi="Arial" w:cs="Arial"/>
        </w:rPr>
        <w:t>- 31527210-1 Latarnie</w:t>
      </w:r>
    </w:p>
    <w:p w14:paraId="458B7FAA" w14:textId="77777777" w:rsidR="006E09C4" w:rsidRPr="006862A9" w:rsidRDefault="006E09C4" w:rsidP="006E09C4">
      <w:pPr>
        <w:pStyle w:val="Bezodstpw"/>
        <w:ind w:left="567"/>
        <w:rPr>
          <w:rFonts w:ascii="Arial" w:eastAsia="Times New Roman" w:hAnsi="Arial" w:cs="Arial"/>
        </w:rPr>
      </w:pPr>
    </w:p>
    <w:p w14:paraId="13AD64D8" w14:textId="77777777" w:rsidR="006E09C4" w:rsidRPr="006862A9" w:rsidRDefault="006E09C4" w:rsidP="006E09C4">
      <w:pPr>
        <w:pStyle w:val="Bezodstpw"/>
        <w:numPr>
          <w:ilvl w:val="3"/>
          <w:numId w:val="1"/>
        </w:numPr>
        <w:ind w:left="567" w:hanging="567"/>
        <w:rPr>
          <w:rFonts w:ascii="Arial" w:eastAsia="Times New Roman" w:hAnsi="Arial" w:cs="Arial"/>
          <w:b/>
          <w:bCs/>
        </w:rPr>
      </w:pPr>
      <w:r w:rsidRPr="006862A9">
        <w:rPr>
          <w:rFonts w:ascii="Arial" w:eastAsia="Times New Roman" w:hAnsi="Arial" w:cs="Arial"/>
          <w:b/>
          <w:bCs/>
        </w:rPr>
        <w:t>Wymagania i warunki wykonania zamówienia:</w:t>
      </w:r>
    </w:p>
    <w:p w14:paraId="7E025BE7" w14:textId="77777777" w:rsidR="006E09C4" w:rsidRPr="006862A9" w:rsidRDefault="006E09C4" w:rsidP="006E09C4">
      <w:pPr>
        <w:pStyle w:val="Akapitzlist"/>
        <w:numPr>
          <w:ilvl w:val="0"/>
          <w:numId w:val="3"/>
        </w:numPr>
        <w:spacing w:after="0" w:line="20" w:lineRule="atLeast"/>
        <w:ind w:left="714" w:hanging="357"/>
        <w:jc w:val="both"/>
        <w:rPr>
          <w:rFonts w:ascii="Arial" w:eastAsia="Times New Roman" w:hAnsi="Arial" w:cs="Arial"/>
        </w:rPr>
      </w:pPr>
      <w:r w:rsidRPr="006862A9">
        <w:rPr>
          <w:rFonts w:ascii="Arial" w:eastAsia="Times New Roman" w:hAnsi="Arial" w:cs="Arial"/>
        </w:rPr>
        <w:lastRenderedPageBreak/>
        <w:t>Wykonania całego zakresu zleconych robót siłami własnymi lub siłami własnymi i podwykonawców</w:t>
      </w:r>
    </w:p>
    <w:p w14:paraId="3B8C97EB" w14:textId="77777777" w:rsidR="006E09C4" w:rsidRPr="006862A9" w:rsidRDefault="006E09C4" w:rsidP="006E09C4">
      <w:pPr>
        <w:pStyle w:val="Akapitzlist"/>
        <w:numPr>
          <w:ilvl w:val="0"/>
          <w:numId w:val="3"/>
        </w:numPr>
        <w:spacing w:after="0" w:line="20" w:lineRule="atLeast"/>
        <w:ind w:left="714" w:hanging="357"/>
        <w:jc w:val="both"/>
        <w:rPr>
          <w:rFonts w:ascii="Arial" w:eastAsia="Times New Roman" w:hAnsi="Arial" w:cs="Arial"/>
        </w:rPr>
      </w:pPr>
      <w:r w:rsidRPr="006862A9">
        <w:rPr>
          <w:rFonts w:ascii="Arial" w:eastAsia="Times New Roman" w:hAnsi="Arial" w:cs="Arial"/>
        </w:rPr>
        <w:t xml:space="preserve">Wykonawca będzie zobowiązany w czasie realizacji zadania zapewnić na terenie prac montażowych należyty ład, porządek, przestrzeganie przepisów BHP, ochronę znajdujących się na terenie obiektów i sieci oraz urządzeń uzbrojenia terenu i utrzymywać je w należytym stanie technicznym, a po zakończeniu uporządkować teren; </w:t>
      </w:r>
    </w:p>
    <w:p w14:paraId="1BACD489" w14:textId="77777777" w:rsidR="006E09C4" w:rsidRPr="006862A9" w:rsidRDefault="006E09C4" w:rsidP="006E09C4">
      <w:pPr>
        <w:pStyle w:val="Akapitzlist"/>
        <w:numPr>
          <w:ilvl w:val="0"/>
          <w:numId w:val="3"/>
        </w:numPr>
        <w:spacing w:after="0" w:line="20" w:lineRule="atLeast"/>
        <w:ind w:left="714" w:hanging="357"/>
        <w:jc w:val="both"/>
        <w:rPr>
          <w:rFonts w:ascii="Arial" w:eastAsia="Times New Roman" w:hAnsi="Arial" w:cs="Arial"/>
        </w:rPr>
      </w:pPr>
      <w:r w:rsidRPr="006862A9">
        <w:rPr>
          <w:rFonts w:ascii="Arial" w:eastAsia="Times New Roman" w:hAnsi="Arial" w:cs="Arial"/>
        </w:rPr>
        <w:t xml:space="preserve">Wykonawca zobowiązany będzie do ochrony urządzeń podziemnych i nadziemnych oraz budynków i obiektów budowlanych zlokalizowanych na obszarze i w bezpośrednim sąsiedztwie realizacji inwestycji; </w:t>
      </w:r>
    </w:p>
    <w:p w14:paraId="50624E28" w14:textId="77777777" w:rsidR="006E09C4" w:rsidRPr="006862A9" w:rsidRDefault="006E09C4" w:rsidP="006E09C4">
      <w:pPr>
        <w:pStyle w:val="Akapitzlist"/>
        <w:numPr>
          <w:ilvl w:val="0"/>
          <w:numId w:val="3"/>
        </w:numPr>
        <w:spacing w:after="0" w:line="20" w:lineRule="atLeast"/>
        <w:ind w:left="714" w:hanging="357"/>
        <w:jc w:val="both"/>
        <w:rPr>
          <w:rFonts w:ascii="Arial" w:eastAsia="Times New Roman" w:hAnsi="Arial" w:cs="Arial"/>
        </w:rPr>
      </w:pPr>
      <w:r w:rsidRPr="006862A9">
        <w:rPr>
          <w:rFonts w:ascii="Arial" w:eastAsia="Times New Roman" w:hAnsi="Arial" w:cs="Arial"/>
        </w:rPr>
        <w:t xml:space="preserve">Wykonawca będzie zobowiązany wykonać przedmiot zamówienia z materiałów, które będą spełniać wszelkie wymogi ustawy Prawo budowlane (art.10), tj. z materiałów, które zostały wprowadzone do obrotu zgodnie z przepisami odrębnymi; </w:t>
      </w:r>
    </w:p>
    <w:p w14:paraId="665D2BD2" w14:textId="77777777" w:rsidR="006E09C4" w:rsidRPr="006862A9" w:rsidRDefault="006E09C4" w:rsidP="006E09C4">
      <w:pPr>
        <w:pStyle w:val="Akapitzlist"/>
        <w:numPr>
          <w:ilvl w:val="0"/>
          <w:numId w:val="3"/>
        </w:numPr>
        <w:spacing w:after="0" w:line="20" w:lineRule="atLeast"/>
        <w:ind w:left="714" w:hanging="357"/>
        <w:jc w:val="both"/>
        <w:rPr>
          <w:rFonts w:ascii="Arial" w:hAnsi="Arial" w:cs="Arial"/>
        </w:rPr>
      </w:pPr>
      <w:r w:rsidRPr="006862A9">
        <w:rPr>
          <w:rFonts w:ascii="Arial" w:eastAsia="Times New Roman" w:hAnsi="Arial" w:cs="Arial"/>
        </w:rPr>
        <w:t>Zamawiający wymaga, aby odpady powstałe w wyniku realizacji robót były przetransportowane i zmagazynowane w miejscu unieszkodliwiania odpadów na koszt wykonawcy. Wykonawca zobowiązany będzie do przedstawienia Zamawiającemu stosownych dokumentów</w:t>
      </w:r>
      <w:r>
        <w:rPr>
          <w:rFonts w:ascii="Arial" w:eastAsia="Times New Roman" w:hAnsi="Arial" w:cs="Arial"/>
        </w:rPr>
        <w:t>;</w:t>
      </w:r>
    </w:p>
    <w:p w14:paraId="1F670895" w14:textId="77777777" w:rsidR="006E09C4" w:rsidRDefault="006E09C4" w:rsidP="006E09C4">
      <w:pPr>
        <w:pStyle w:val="Akapitzlist"/>
        <w:widowControl w:val="0"/>
        <w:numPr>
          <w:ilvl w:val="0"/>
          <w:numId w:val="3"/>
        </w:numPr>
        <w:spacing w:after="0" w:line="20" w:lineRule="atLeast"/>
        <w:ind w:left="714" w:hanging="357"/>
        <w:jc w:val="both"/>
        <w:rPr>
          <w:rFonts w:ascii="Arial" w:hAnsi="Arial" w:cs="Arial"/>
        </w:rPr>
      </w:pPr>
      <w:r w:rsidRPr="006862A9">
        <w:rPr>
          <w:rFonts w:ascii="Arial" w:hAnsi="Arial" w:cs="Arial"/>
        </w:rPr>
        <w:t>Po wykonaniu zadania należy dostarczyć zamawiającemu powykonawczą dokumentację geodezyjną z montażu lamp</w:t>
      </w:r>
      <w:r>
        <w:rPr>
          <w:rFonts w:ascii="Arial" w:hAnsi="Arial" w:cs="Arial"/>
        </w:rPr>
        <w:t>.</w:t>
      </w:r>
    </w:p>
    <w:p w14:paraId="4EC1082E" w14:textId="77777777" w:rsidR="006E09C4" w:rsidRPr="006862A9" w:rsidRDefault="006E09C4" w:rsidP="006E09C4">
      <w:pPr>
        <w:pStyle w:val="Akapitzlist"/>
        <w:widowControl w:val="0"/>
        <w:spacing w:after="0" w:line="288" w:lineRule="atLeast"/>
        <w:ind w:left="714"/>
        <w:jc w:val="both"/>
        <w:rPr>
          <w:rFonts w:ascii="Arial" w:hAnsi="Arial" w:cs="Arial"/>
        </w:rPr>
      </w:pPr>
    </w:p>
    <w:p w14:paraId="5E63B48F" w14:textId="77777777" w:rsidR="006E09C4" w:rsidRPr="006862A9" w:rsidRDefault="006E09C4" w:rsidP="006E09C4">
      <w:pPr>
        <w:widowControl w:val="0"/>
        <w:spacing w:line="288" w:lineRule="atLeast"/>
        <w:jc w:val="both"/>
        <w:rPr>
          <w:rFonts w:ascii="Arial" w:hAnsi="Arial" w:cs="Arial"/>
        </w:rPr>
      </w:pPr>
      <w:r w:rsidRPr="006862A9">
        <w:rPr>
          <w:rFonts w:ascii="Arial" w:hAnsi="Arial" w:cs="Arial"/>
          <w:b/>
          <w:bCs/>
        </w:rPr>
        <w:t>6.</w:t>
      </w:r>
      <w:r w:rsidRPr="006862A9">
        <w:rPr>
          <w:rFonts w:ascii="Arial" w:hAnsi="Arial" w:cs="Arial"/>
        </w:rPr>
        <w:t xml:space="preserve">     Wykonawca ponosi wszelkie koszty związane z realizacją zamówienia.</w:t>
      </w:r>
    </w:p>
    <w:p w14:paraId="3212C8B6" w14:textId="77777777" w:rsidR="006E09C4" w:rsidRPr="006862A9" w:rsidRDefault="006E09C4" w:rsidP="006E09C4">
      <w:pPr>
        <w:widowControl w:val="0"/>
        <w:spacing w:line="288" w:lineRule="atLeast"/>
        <w:jc w:val="both"/>
        <w:rPr>
          <w:rFonts w:ascii="Arial" w:hAnsi="Arial" w:cs="Arial"/>
          <w:bCs/>
        </w:rPr>
      </w:pPr>
      <w:r w:rsidRPr="006862A9">
        <w:rPr>
          <w:rFonts w:ascii="Arial" w:hAnsi="Arial" w:cs="Arial"/>
          <w:b/>
          <w:bCs/>
        </w:rPr>
        <w:t>7.</w:t>
      </w:r>
      <w:r w:rsidRPr="006862A9">
        <w:rPr>
          <w:rFonts w:ascii="Arial" w:hAnsi="Arial" w:cs="Arial"/>
        </w:rPr>
        <w:t xml:space="preserve">     </w:t>
      </w:r>
      <w:r w:rsidRPr="006862A9">
        <w:rPr>
          <w:rFonts w:ascii="Arial" w:hAnsi="Arial" w:cs="Arial"/>
          <w:bCs/>
        </w:rPr>
        <w:t>Wykonawca udziela minimum 48 miesięcy gwarancji na przedmiot umowy.</w:t>
      </w:r>
    </w:p>
    <w:p w14:paraId="15AAC423" w14:textId="77777777" w:rsidR="006E09C4" w:rsidRDefault="006E09C4"/>
    <w:sectPr w:rsidR="006E09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2EBA"/>
    <w:multiLevelType w:val="hybridMultilevel"/>
    <w:tmpl w:val="C450C9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AA2A49"/>
    <w:multiLevelType w:val="hybridMultilevel"/>
    <w:tmpl w:val="3A787C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A8C1476"/>
    <w:multiLevelType w:val="hybridMultilevel"/>
    <w:tmpl w:val="64CED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48071F3"/>
    <w:multiLevelType w:val="hybridMultilevel"/>
    <w:tmpl w:val="3920F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D69455A"/>
    <w:multiLevelType w:val="hybridMultilevel"/>
    <w:tmpl w:val="86B09E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D7035A2"/>
    <w:multiLevelType w:val="hybridMultilevel"/>
    <w:tmpl w:val="559E091C"/>
    <w:lvl w:ilvl="0" w:tplc="9BCC8FD0">
      <w:start w:val="1"/>
      <w:numFmt w:val="upperRoman"/>
      <w:lvlText w:val="%1."/>
      <w:lvlJc w:val="left"/>
      <w:pPr>
        <w:ind w:left="2325" w:hanging="720"/>
      </w:pPr>
    </w:lvl>
    <w:lvl w:ilvl="1" w:tplc="04150019">
      <w:start w:val="1"/>
      <w:numFmt w:val="lowerLetter"/>
      <w:lvlText w:val="%2."/>
      <w:lvlJc w:val="left"/>
      <w:pPr>
        <w:ind w:left="2685" w:hanging="360"/>
      </w:pPr>
    </w:lvl>
    <w:lvl w:ilvl="2" w:tplc="0415001B">
      <w:start w:val="1"/>
      <w:numFmt w:val="lowerRoman"/>
      <w:lvlText w:val="%3."/>
      <w:lvlJc w:val="right"/>
      <w:pPr>
        <w:ind w:left="3405" w:hanging="180"/>
      </w:pPr>
    </w:lvl>
    <w:lvl w:ilvl="3" w:tplc="CD1E8A7C">
      <w:start w:val="1"/>
      <w:numFmt w:val="decimal"/>
      <w:lvlText w:val="%4."/>
      <w:lvlJc w:val="left"/>
      <w:pPr>
        <w:ind w:left="4125" w:hanging="360"/>
      </w:pPr>
      <w:rPr>
        <w:b/>
        <w:bCs/>
      </w:rPr>
    </w:lvl>
    <w:lvl w:ilvl="4" w:tplc="04150019">
      <w:start w:val="1"/>
      <w:numFmt w:val="lowerLetter"/>
      <w:lvlText w:val="%5."/>
      <w:lvlJc w:val="left"/>
      <w:pPr>
        <w:ind w:left="4845" w:hanging="360"/>
      </w:pPr>
    </w:lvl>
    <w:lvl w:ilvl="5" w:tplc="0415001B">
      <w:start w:val="1"/>
      <w:numFmt w:val="lowerRoman"/>
      <w:lvlText w:val="%6."/>
      <w:lvlJc w:val="right"/>
      <w:pPr>
        <w:ind w:left="5565" w:hanging="180"/>
      </w:pPr>
    </w:lvl>
    <w:lvl w:ilvl="6" w:tplc="0415000F">
      <w:start w:val="1"/>
      <w:numFmt w:val="decimal"/>
      <w:lvlText w:val="%7."/>
      <w:lvlJc w:val="left"/>
      <w:pPr>
        <w:ind w:left="6285" w:hanging="360"/>
      </w:pPr>
    </w:lvl>
    <w:lvl w:ilvl="7" w:tplc="04150019">
      <w:start w:val="1"/>
      <w:numFmt w:val="lowerLetter"/>
      <w:lvlText w:val="%8."/>
      <w:lvlJc w:val="left"/>
      <w:pPr>
        <w:ind w:left="7005" w:hanging="360"/>
      </w:pPr>
    </w:lvl>
    <w:lvl w:ilvl="8" w:tplc="0415001B">
      <w:start w:val="1"/>
      <w:numFmt w:val="lowerRoman"/>
      <w:lvlText w:val="%9."/>
      <w:lvlJc w:val="right"/>
      <w:pPr>
        <w:ind w:left="7725" w:hanging="180"/>
      </w:pPr>
    </w:lvl>
  </w:abstractNum>
  <w:abstractNum w:abstractNumId="6" w15:restartNumberingAfterBreak="0">
    <w:nsid w:val="5F58057B"/>
    <w:multiLevelType w:val="hybridMultilevel"/>
    <w:tmpl w:val="37D8A1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02D6449"/>
    <w:multiLevelType w:val="hybridMultilevel"/>
    <w:tmpl w:val="43E65A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F8F0BA3"/>
    <w:multiLevelType w:val="hybridMultilevel"/>
    <w:tmpl w:val="20D053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125639A"/>
    <w:multiLevelType w:val="hybridMultilevel"/>
    <w:tmpl w:val="BFE0A8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75F5B76"/>
    <w:multiLevelType w:val="hybridMultilevel"/>
    <w:tmpl w:val="0A50F9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805556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349722">
    <w:abstractNumId w:val="6"/>
  </w:num>
  <w:num w:numId="3" w16cid:durableId="868686795">
    <w:abstractNumId w:val="10"/>
  </w:num>
  <w:num w:numId="4" w16cid:durableId="727923956">
    <w:abstractNumId w:val="1"/>
  </w:num>
  <w:num w:numId="5" w16cid:durableId="983655533">
    <w:abstractNumId w:val="9"/>
  </w:num>
  <w:num w:numId="6" w16cid:durableId="323819260">
    <w:abstractNumId w:val="8"/>
  </w:num>
  <w:num w:numId="7" w16cid:durableId="323171437">
    <w:abstractNumId w:val="0"/>
  </w:num>
  <w:num w:numId="8" w16cid:durableId="385178837">
    <w:abstractNumId w:val="2"/>
  </w:num>
  <w:num w:numId="9" w16cid:durableId="871769405">
    <w:abstractNumId w:val="7"/>
  </w:num>
  <w:num w:numId="10" w16cid:durableId="622351229">
    <w:abstractNumId w:val="4"/>
  </w:num>
  <w:num w:numId="11" w16cid:durableId="796987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9C4"/>
    <w:rsid w:val="000D7562"/>
    <w:rsid w:val="001212B3"/>
    <w:rsid w:val="00271C71"/>
    <w:rsid w:val="00312AB2"/>
    <w:rsid w:val="00404D42"/>
    <w:rsid w:val="005C38C4"/>
    <w:rsid w:val="006E09C4"/>
    <w:rsid w:val="00767B15"/>
    <w:rsid w:val="00D22B8B"/>
    <w:rsid w:val="00F522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A38FA"/>
  <w15:chartTrackingRefBased/>
  <w15:docId w15:val="{90D13C52-B891-496C-B113-7646AEEE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09C4"/>
    <w:pPr>
      <w:spacing w:after="200" w:line="276" w:lineRule="auto"/>
    </w:pPr>
    <w:rPr>
      <w:rFonts w:eastAsiaTheme="minorEastAsia"/>
      <w:kern w:val="0"/>
      <w:sz w:val="22"/>
      <w:szCs w:val="22"/>
      <w:lang w:eastAsia="pl-PL"/>
      <w14:ligatures w14:val="none"/>
    </w:rPr>
  </w:style>
  <w:style w:type="paragraph" w:styleId="Nagwek1">
    <w:name w:val="heading 1"/>
    <w:basedOn w:val="Normalny"/>
    <w:next w:val="Normalny"/>
    <w:link w:val="Nagwek1Znak"/>
    <w:qFormat/>
    <w:rsid w:val="006E09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E09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E09C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E09C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E09C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E09C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E09C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E09C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E09C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E09C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E09C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E09C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E09C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E09C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E09C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E09C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E09C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E09C4"/>
    <w:rPr>
      <w:rFonts w:eastAsiaTheme="majorEastAsia" w:cstheme="majorBidi"/>
      <w:color w:val="272727" w:themeColor="text1" w:themeTint="D8"/>
    </w:rPr>
  </w:style>
  <w:style w:type="paragraph" w:styleId="Tytu">
    <w:name w:val="Title"/>
    <w:basedOn w:val="Normalny"/>
    <w:next w:val="Normalny"/>
    <w:link w:val="TytuZnak"/>
    <w:uiPriority w:val="10"/>
    <w:qFormat/>
    <w:rsid w:val="006E0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E09C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E09C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E09C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E09C4"/>
    <w:pPr>
      <w:spacing w:before="160"/>
      <w:jc w:val="center"/>
    </w:pPr>
    <w:rPr>
      <w:i/>
      <w:iCs/>
      <w:color w:val="404040" w:themeColor="text1" w:themeTint="BF"/>
    </w:rPr>
  </w:style>
  <w:style w:type="character" w:customStyle="1" w:styleId="CytatZnak">
    <w:name w:val="Cytat Znak"/>
    <w:basedOn w:val="Domylnaczcionkaakapitu"/>
    <w:link w:val="Cytat"/>
    <w:uiPriority w:val="29"/>
    <w:rsid w:val="006E09C4"/>
    <w:rPr>
      <w:i/>
      <w:iCs/>
      <w:color w:val="404040" w:themeColor="text1" w:themeTint="BF"/>
    </w:rPr>
  </w:style>
  <w:style w:type="paragraph" w:styleId="Akapitzlist">
    <w:name w:val="List Paragraph"/>
    <w:basedOn w:val="Normalny"/>
    <w:uiPriority w:val="34"/>
    <w:qFormat/>
    <w:rsid w:val="006E09C4"/>
    <w:pPr>
      <w:ind w:left="720"/>
      <w:contextualSpacing/>
    </w:pPr>
  </w:style>
  <w:style w:type="character" w:styleId="Wyrnienieintensywne">
    <w:name w:val="Intense Emphasis"/>
    <w:basedOn w:val="Domylnaczcionkaakapitu"/>
    <w:uiPriority w:val="21"/>
    <w:qFormat/>
    <w:rsid w:val="006E09C4"/>
    <w:rPr>
      <w:i/>
      <w:iCs/>
      <w:color w:val="2F5496" w:themeColor="accent1" w:themeShade="BF"/>
    </w:rPr>
  </w:style>
  <w:style w:type="paragraph" w:styleId="Cytatintensywny">
    <w:name w:val="Intense Quote"/>
    <w:basedOn w:val="Normalny"/>
    <w:next w:val="Normalny"/>
    <w:link w:val="CytatintensywnyZnak"/>
    <w:uiPriority w:val="30"/>
    <w:qFormat/>
    <w:rsid w:val="006E09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E09C4"/>
    <w:rPr>
      <w:i/>
      <w:iCs/>
      <w:color w:val="2F5496" w:themeColor="accent1" w:themeShade="BF"/>
    </w:rPr>
  </w:style>
  <w:style w:type="character" w:styleId="Odwoanieintensywne">
    <w:name w:val="Intense Reference"/>
    <w:basedOn w:val="Domylnaczcionkaakapitu"/>
    <w:uiPriority w:val="32"/>
    <w:qFormat/>
    <w:rsid w:val="006E09C4"/>
    <w:rPr>
      <w:b/>
      <w:bCs/>
      <w:smallCaps/>
      <w:color w:val="2F5496" w:themeColor="accent1" w:themeShade="BF"/>
      <w:spacing w:val="5"/>
    </w:rPr>
  </w:style>
  <w:style w:type="paragraph" w:styleId="Tekstpodstawowy">
    <w:name w:val="Body Text"/>
    <w:basedOn w:val="Normalny"/>
    <w:link w:val="TekstpodstawowyZnak"/>
    <w:unhideWhenUsed/>
    <w:rsid w:val="006E09C4"/>
    <w:pPr>
      <w:spacing w:after="0" w:line="240" w:lineRule="auto"/>
      <w:jc w:val="center"/>
    </w:pPr>
    <w:rPr>
      <w:rFonts w:ascii="Arial Narrow" w:eastAsia="Times New Roman" w:hAnsi="Arial Narrow" w:cs="Times New Roman"/>
      <w:b/>
      <w:bCs/>
      <w:sz w:val="24"/>
      <w:szCs w:val="24"/>
    </w:rPr>
  </w:style>
  <w:style w:type="character" w:customStyle="1" w:styleId="TekstpodstawowyZnak">
    <w:name w:val="Tekst podstawowy Znak"/>
    <w:basedOn w:val="Domylnaczcionkaakapitu"/>
    <w:link w:val="Tekstpodstawowy"/>
    <w:rsid w:val="006E09C4"/>
    <w:rPr>
      <w:rFonts w:ascii="Arial Narrow" w:eastAsia="Times New Roman" w:hAnsi="Arial Narrow" w:cs="Times New Roman"/>
      <w:b/>
      <w:bCs/>
      <w:kern w:val="0"/>
      <w:lang w:eastAsia="pl-PL"/>
      <w14:ligatures w14:val="none"/>
    </w:rPr>
  </w:style>
  <w:style w:type="paragraph" w:styleId="Bezodstpw">
    <w:name w:val="No Spacing"/>
    <w:uiPriority w:val="1"/>
    <w:qFormat/>
    <w:rsid w:val="006E09C4"/>
    <w:pPr>
      <w:spacing w:after="0" w:line="240" w:lineRule="auto"/>
    </w:pPr>
    <w:rPr>
      <w:rFonts w:eastAsiaTheme="minorEastAsia"/>
      <w:kern w:val="0"/>
      <w:sz w:val="22"/>
      <w:szCs w:val="22"/>
      <w:lang w:eastAsia="pl-PL"/>
      <w14:ligatures w14:val="none"/>
    </w:rPr>
  </w:style>
  <w:style w:type="paragraph" w:customStyle="1" w:styleId="Default">
    <w:name w:val="Default"/>
    <w:rsid w:val="006E09C4"/>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751</Words>
  <Characters>4506</Characters>
  <Application>Microsoft Office Word</Application>
  <DocSecurity>0</DocSecurity>
  <Lines>37</Lines>
  <Paragraphs>10</Paragraphs>
  <ScaleCrop>false</ScaleCrop>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Papiez</dc:creator>
  <cp:keywords/>
  <dc:description/>
  <cp:lastModifiedBy>AGGRZY</cp:lastModifiedBy>
  <cp:revision>5</cp:revision>
  <dcterms:created xsi:type="dcterms:W3CDTF">2025-05-30T08:58:00Z</dcterms:created>
  <dcterms:modified xsi:type="dcterms:W3CDTF">2025-08-20T07:44:00Z</dcterms:modified>
</cp:coreProperties>
</file>