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73637C3C"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5B0458">
        <w:rPr>
          <w:rFonts w:cs="Arial"/>
          <w:iCs/>
          <w:sz w:val="20"/>
          <w:szCs w:val="20"/>
          <w:lang w:eastAsia="en-US"/>
        </w:rPr>
        <w:t>P</w:t>
      </w:r>
      <w:r w:rsidRPr="00915605">
        <w:rPr>
          <w:rFonts w:cs="Arial"/>
          <w:iCs/>
          <w:sz w:val="20"/>
          <w:szCs w:val="20"/>
          <w:lang w:eastAsia="en-US"/>
        </w:rPr>
        <w:t>.271.</w:t>
      </w:r>
      <w:r w:rsidR="005B0458">
        <w:rPr>
          <w:rFonts w:cs="Arial"/>
          <w:iCs/>
          <w:sz w:val="20"/>
          <w:szCs w:val="20"/>
          <w:lang w:eastAsia="en-US"/>
        </w:rPr>
        <w:t>44</w:t>
      </w:r>
      <w:r w:rsidRPr="00915605">
        <w:rPr>
          <w:rFonts w:cs="Arial"/>
          <w:iCs/>
          <w:sz w:val="20"/>
          <w:szCs w:val="20"/>
          <w:lang w:eastAsia="en-US"/>
        </w:rPr>
        <w:t>.20</w:t>
      </w:r>
      <w:r w:rsidR="005B36A7">
        <w:rPr>
          <w:rFonts w:cs="Arial"/>
          <w:iCs/>
          <w:sz w:val="20"/>
          <w:szCs w:val="20"/>
          <w:lang w:eastAsia="en-US"/>
        </w:rPr>
        <w:t>2</w:t>
      </w:r>
      <w:r w:rsidR="000A031A">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07AA5595" w14:textId="77777777" w:rsidR="000A031A" w:rsidRDefault="000A031A" w:rsidP="005B0458">
      <w:pPr>
        <w:keepNext/>
        <w:spacing w:before="120" w:after="120" w:line="23" w:lineRule="atLeast"/>
        <w:outlineLvl w:val="3"/>
        <w:rPr>
          <w:rFonts w:eastAsia="Calibri" w:cs="Arial"/>
          <w:b/>
          <w:sz w:val="28"/>
          <w:szCs w:val="28"/>
          <w:lang w:eastAsia="en-US"/>
        </w:rPr>
      </w:pPr>
    </w:p>
    <w:p w14:paraId="0DF82D75" w14:textId="34D5D3F2" w:rsidR="000441C2" w:rsidRDefault="005B0458" w:rsidP="00064093">
      <w:pPr>
        <w:spacing w:before="120" w:after="120"/>
        <w:jc w:val="center"/>
        <w:rPr>
          <w:rFonts w:eastAsia="Calibri" w:cs="Arial"/>
          <w:b/>
          <w:sz w:val="28"/>
          <w:szCs w:val="28"/>
          <w:lang w:eastAsia="en-US"/>
        </w:rPr>
      </w:pPr>
      <w:r w:rsidRPr="005B0458">
        <w:rPr>
          <w:rFonts w:eastAsia="Calibri" w:cs="Arial"/>
          <w:b/>
          <w:sz w:val="28"/>
          <w:szCs w:val="28"/>
          <w:lang w:eastAsia="en-US"/>
        </w:rPr>
        <w:t>Budowa sieci wodociągowej w ul. Ziołowej i Grzybowej w Czersku</w:t>
      </w:r>
    </w:p>
    <w:p w14:paraId="3E230F3A" w14:textId="77777777" w:rsidR="000441C2" w:rsidRPr="000441C2" w:rsidRDefault="000441C2" w:rsidP="000441C2">
      <w:pPr>
        <w:spacing w:line="276" w:lineRule="auto"/>
        <w:jc w:val="center"/>
        <w:rPr>
          <w:i/>
          <w:iCs/>
          <w:sz w:val="20"/>
          <w:szCs w:val="20"/>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F18B423" w14:textId="77777777" w:rsidR="005B0458" w:rsidRDefault="005B0458" w:rsidP="00694C3B">
      <w:pPr>
        <w:spacing w:before="120" w:after="120"/>
        <w:ind w:left="2880" w:right="252"/>
        <w:jc w:val="center"/>
        <w:rPr>
          <w:rFonts w:cs="Arial"/>
          <w:b/>
          <w:bCs/>
          <w:sz w:val="20"/>
          <w:szCs w:val="20"/>
          <w:lang w:val="en-US" w:eastAsia="en-US"/>
        </w:rPr>
      </w:pPr>
    </w:p>
    <w:p w14:paraId="33ADC3D6" w14:textId="77777777" w:rsidR="005B0458" w:rsidRDefault="005B0458"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5B0458">
      <w:pPr>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095C65A9" w14:textId="1C79235A" w:rsidR="00966F3D" w:rsidRPr="000441C2" w:rsidRDefault="0029707B" w:rsidP="005B0458">
      <w:pPr>
        <w:tabs>
          <w:tab w:val="left" w:pos="1276"/>
        </w:tabs>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369BD0F6" w14:textId="77777777" w:rsidR="00064093" w:rsidRDefault="00064093" w:rsidP="00694C3B">
      <w:pPr>
        <w:tabs>
          <w:tab w:val="left" w:pos="1276"/>
        </w:tabs>
        <w:spacing w:before="120" w:after="120"/>
        <w:ind w:right="1152"/>
        <w:rPr>
          <w:rFonts w:cs="Arial"/>
          <w:vertAlign w:val="superscript"/>
          <w:lang w:eastAsia="en-US"/>
        </w:rPr>
      </w:pPr>
    </w:p>
    <w:p w14:paraId="7D9F0C9A" w14:textId="77777777" w:rsidR="005B0458" w:rsidRDefault="005B0458" w:rsidP="00694C3B">
      <w:pPr>
        <w:tabs>
          <w:tab w:val="left" w:pos="1276"/>
        </w:tabs>
        <w:spacing w:before="120" w:after="120"/>
        <w:ind w:right="1152"/>
        <w:rPr>
          <w:rFonts w:cs="Arial"/>
          <w:vertAlign w:val="superscript"/>
          <w:lang w:eastAsia="en-US"/>
        </w:rPr>
      </w:pPr>
    </w:p>
    <w:p w14:paraId="2E68BA31" w14:textId="77777777" w:rsidR="005B0458" w:rsidRPr="00915605" w:rsidRDefault="005B0458" w:rsidP="00694C3B">
      <w:pPr>
        <w:tabs>
          <w:tab w:val="left" w:pos="1276"/>
        </w:tabs>
        <w:spacing w:before="120" w:after="120"/>
        <w:ind w:right="1152"/>
        <w:rPr>
          <w:rFonts w:cs="Arial"/>
          <w:vertAlign w:val="superscript"/>
          <w:lang w:eastAsia="en-US"/>
        </w:rPr>
      </w:pPr>
    </w:p>
    <w:p w14:paraId="3A8E44C9" w14:textId="0B682ABE"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5B0458">
        <w:rPr>
          <w:rFonts w:cs="Arial"/>
          <w:sz w:val="28"/>
          <w:szCs w:val="28"/>
          <w:vertAlign w:val="superscript"/>
          <w:lang w:eastAsia="en-US"/>
        </w:rPr>
        <w:t>12 listopada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5B045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3162BDBA"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5B0458">
        <w:rPr>
          <w:rFonts w:cs="Arial"/>
          <w:sz w:val="20"/>
          <w:szCs w:val="20"/>
          <w:lang w:eastAsia="en-US"/>
        </w:rPr>
        <w:t>4</w:t>
      </w:r>
      <w:r w:rsidR="005B36A7">
        <w:rPr>
          <w:rFonts w:cs="Arial"/>
          <w:sz w:val="20"/>
          <w:szCs w:val="20"/>
          <w:lang w:eastAsia="en-US"/>
        </w:rPr>
        <w:t xml:space="preserve"> r., poz. </w:t>
      </w:r>
      <w:r w:rsidR="005B0458">
        <w:rPr>
          <w:rFonts w:cs="Arial"/>
          <w:sz w:val="20"/>
          <w:szCs w:val="20"/>
          <w:lang w:eastAsia="en-US"/>
        </w:rPr>
        <w:t>1320</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5BA83DAC" w:rsidR="00A7104F" w:rsidRPr="00A25FF0" w:rsidRDefault="00915605" w:rsidP="00A25FF0">
      <w:pPr>
        <w:keepNext/>
        <w:numPr>
          <w:ilvl w:val="1"/>
          <w:numId w:val="1"/>
        </w:numPr>
        <w:spacing w:before="120" w:after="120" w:line="276" w:lineRule="auto"/>
        <w:ind w:left="709" w:hanging="425"/>
        <w:jc w:val="both"/>
        <w:outlineLvl w:val="3"/>
        <w:rPr>
          <w:rFonts w:cs="Arial"/>
          <w:b/>
          <w:bCs/>
          <w:sz w:val="20"/>
          <w:szCs w:val="20"/>
        </w:rPr>
      </w:pPr>
      <w:r w:rsidRPr="000A031A">
        <w:rPr>
          <w:rFonts w:cs="Arial"/>
          <w:sz w:val="20"/>
          <w:szCs w:val="20"/>
        </w:rPr>
        <w:t>Przedmiotem zamówienia jest:</w:t>
      </w:r>
      <w:r w:rsidRPr="00CD4038">
        <w:rPr>
          <w:rFonts w:cs="Arial"/>
          <w:b/>
          <w:bCs/>
          <w:sz w:val="20"/>
          <w:szCs w:val="20"/>
        </w:rPr>
        <w:t xml:space="preserve"> </w:t>
      </w:r>
      <w:r w:rsidR="005B0458" w:rsidRPr="005B0458">
        <w:rPr>
          <w:rFonts w:cs="Arial"/>
          <w:b/>
          <w:bCs/>
          <w:sz w:val="20"/>
        </w:rPr>
        <w:t xml:space="preserve">Budowa sieci wodociągowej w ul. Ziołowej i Grzybowej </w:t>
      </w:r>
      <w:r w:rsidR="005B0458">
        <w:rPr>
          <w:rFonts w:cs="Arial"/>
          <w:b/>
          <w:bCs/>
          <w:sz w:val="20"/>
        </w:rPr>
        <w:br/>
      </w:r>
      <w:r w:rsidR="005B0458" w:rsidRPr="005B0458">
        <w:rPr>
          <w:rFonts w:cs="Arial"/>
          <w:b/>
          <w:bCs/>
          <w:sz w:val="20"/>
        </w:rPr>
        <w:t>w Czersku</w:t>
      </w:r>
      <w:r w:rsidR="00064093" w:rsidRPr="005B0458">
        <w:rPr>
          <w:rFonts w:cs="Arial"/>
          <w:b/>
          <w:bCs/>
          <w:sz w:val="20"/>
          <w:szCs w:val="20"/>
        </w:rPr>
        <w:t xml:space="preserve">. </w:t>
      </w:r>
    </w:p>
    <w:p w14:paraId="6713DF9F" w14:textId="52F7D682"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5B0458">
        <w:rPr>
          <w:rFonts w:cs="Arial"/>
          <w:bCs/>
          <w:sz w:val="20"/>
          <w:szCs w:val="20"/>
          <w:lang w:eastAsia="en-US"/>
        </w:rPr>
        <w:t>ze</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0A031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0" w:name="_Hlk115342477"/>
      <w:r w:rsidRPr="00C47390">
        <w:rPr>
          <w:rFonts w:cs="Arial"/>
          <w:bCs/>
          <w:sz w:val="20"/>
          <w:szCs w:val="20"/>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0A031A">
        <w:rPr>
          <w:rFonts w:cs="Arial"/>
          <w:bCs/>
          <w:sz w:val="20"/>
          <w:szCs w:val="20"/>
          <w:u w:val="single"/>
          <w:lang w:eastAsia="en-US"/>
        </w:rPr>
        <w:t>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0"/>
    </w:p>
    <w:p w14:paraId="6DDFDA64" w14:textId="49EADC68" w:rsidR="008B32B2" w:rsidRPr="00E2287D" w:rsidRDefault="00915605" w:rsidP="008B32B2">
      <w:pPr>
        <w:keepNext/>
        <w:numPr>
          <w:ilvl w:val="1"/>
          <w:numId w:val="1"/>
        </w:numPr>
        <w:spacing w:before="120" w:after="200" w:line="276" w:lineRule="auto"/>
        <w:ind w:left="709" w:hanging="425"/>
        <w:jc w:val="both"/>
        <w:outlineLvl w:val="3"/>
        <w:rPr>
          <w:rFonts w:cs="Arial"/>
          <w:bCs/>
          <w:i/>
          <w:iCs/>
          <w:sz w:val="20"/>
          <w:szCs w:val="20"/>
          <w:lang w:eastAsia="en-US"/>
        </w:rPr>
      </w:pPr>
      <w:r w:rsidRPr="005C43DE">
        <w:rPr>
          <w:rFonts w:cs="Arial"/>
          <w:bCs/>
          <w:sz w:val="20"/>
          <w:szCs w:val="20"/>
          <w:lang w:eastAsia="en-US"/>
        </w:rPr>
        <w:t xml:space="preserve">Wspólny słownik CPV: Główny Przedmiot: </w:t>
      </w:r>
      <w:r w:rsidR="00064093" w:rsidRPr="00064093">
        <w:rPr>
          <w:rFonts w:cs="Arial"/>
          <w:bCs/>
          <w:sz w:val="20"/>
          <w:szCs w:val="20"/>
          <w:lang w:eastAsia="en-US"/>
        </w:rPr>
        <w:t>45</w:t>
      </w:r>
      <w:r w:rsidR="00064093">
        <w:rPr>
          <w:rFonts w:cs="Arial"/>
          <w:bCs/>
          <w:sz w:val="20"/>
          <w:szCs w:val="20"/>
          <w:lang w:eastAsia="en-US"/>
        </w:rPr>
        <w:t>.</w:t>
      </w:r>
      <w:r w:rsidR="00064093" w:rsidRPr="00064093">
        <w:rPr>
          <w:rFonts w:cs="Arial"/>
          <w:bCs/>
          <w:sz w:val="20"/>
          <w:szCs w:val="20"/>
          <w:lang w:eastAsia="en-US"/>
        </w:rPr>
        <w:t>23</w:t>
      </w:r>
      <w:r w:rsidR="00064093">
        <w:rPr>
          <w:rFonts w:cs="Arial"/>
          <w:bCs/>
          <w:sz w:val="20"/>
          <w:szCs w:val="20"/>
          <w:lang w:eastAsia="en-US"/>
        </w:rPr>
        <w:t>.</w:t>
      </w:r>
      <w:r w:rsidR="00A25FF0">
        <w:rPr>
          <w:rFonts w:cs="Arial"/>
          <w:bCs/>
          <w:sz w:val="20"/>
          <w:szCs w:val="20"/>
          <w:lang w:eastAsia="en-US"/>
        </w:rPr>
        <w:t>13.00-8</w:t>
      </w:r>
      <w:r w:rsidR="00064093" w:rsidRPr="00064093">
        <w:rPr>
          <w:rFonts w:cs="Arial"/>
          <w:bCs/>
          <w:sz w:val="20"/>
          <w:szCs w:val="20"/>
          <w:lang w:eastAsia="en-US"/>
        </w:rPr>
        <w:t xml:space="preserve"> Roboty w zakresie budowy </w:t>
      </w:r>
      <w:r w:rsidR="00A25FF0">
        <w:rPr>
          <w:rFonts w:cs="Arial"/>
          <w:bCs/>
          <w:sz w:val="20"/>
          <w:szCs w:val="20"/>
          <w:lang w:eastAsia="en-US"/>
        </w:rPr>
        <w:t>wodociągów i rurociągów do odprowadzania ścieków</w:t>
      </w:r>
      <w:r w:rsidR="00064093" w:rsidRPr="00064093">
        <w:rPr>
          <w:rFonts w:cs="Arial"/>
          <w:bCs/>
          <w:sz w:val="20"/>
          <w:szCs w:val="20"/>
          <w:lang w:eastAsia="en-US"/>
        </w:rPr>
        <w:t>,</w:t>
      </w:r>
      <w:r w:rsidR="00064093">
        <w:rPr>
          <w:rFonts w:cs="Arial"/>
          <w:bCs/>
          <w:sz w:val="20"/>
          <w:szCs w:val="20"/>
          <w:lang w:eastAsia="en-US"/>
        </w:rPr>
        <w:t xml:space="preserve"> </w:t>
      </w:r>
      <w:r w:rsidR="008B32B2" w:rsidRPr="008B32B2">
        <w:rPr>
          <w:rFonts w:cs="Arial"/>
          <w:bCs/>
          <w:sz w:val="20"/>
          <w:szCs w:val="20"/>
          <w:lang w:eastAsia="en-US"/>
        </w:rPr>
        <w:t>45</w:t>
      </w:r>
      <w:r w:rsidR="00A25FF0">
        <w:rPr>
          <w:rFonts w:cs="Arial"/>
          <w:bCs/>
          <w:sz w:val="20"/>
          <w:szCs w:val="20"/>
          <w:lang w:eastAsia="en-US"/>
        </w:rPr>
        <w:t>.</w:t>
      </w:r>
      <w:r w:rsidR="008B32B2" w:rsidRPr="008B32B2">
        <w:rPr>
          <w:rFonts w:cs="Arial"/>
          <w:bCs/>
          <w:sz w:val="20"/>
          <w:szCs w:val="20"/>
          <w:lang w:eastAsia="en-US"/>
        </w:rPr>
        <w:t>10</w:t>
      </w:r>
      <w:r w:rsidR="00A25FF0">
        <w:rPr>
          <w:rFonts w:cs="Arial"/>
          <w:bCs/>
          <w:sz w:val="20"/>
          <w:szCs w:val="20"/>
          <w:lang w:eastAsia="en-US"/>
        </w:rPr>
        <w:t>.</w:t>
      </w:r>
      <w:r w:rsidR="008B32B2" w:rsidRPr="008B32B2">
        <w:rPr>
          <w:rFonts w:cs="Arial"/>
          <w:bCs/>
          <w:sz w:val="20"/>
          <w:szCs w:val="20"/>
          <w:lang w:eastAsia="en-US"/>
        </w:rPr>
        <w:t>00</w:t>
      </w:r>
      <w:r w:rsidR="00A25FF0">
        <w:rPr>
          <w:rFonts w:cs="Arial"/>
          <w:bCs/>
          <w:sz w:val="20"/>
          <w:szCs w:val="20"/>
          <w:lang w:eastAsia="en-US"/>
        </w:rPr>
        <w:t>.</w:t>
      </w:r>
      <w:r w:rsidR="008B32B2" w:rsidRPr="008B32B2">
        <w:rPr>
          <w:rFonts w:cs="Arial"/>
          <w:bCs/>
          <w:sz w:val="20"/>
          <w:szCs w:val="20"/>
          <w:lang w:eastAsia="en-US"/>
        </w:rPr>
        <w:t>00-8 Przygotowanie terenu pod budowę</w:t>
      </w:r>
      <w:r w:rsidR="008B32B2">
        <w:rPr>
          <w:rFonts w:cs="Arial"/>
          <w:bCs/>
          <w:sz w:val="20"/>
          <w:szCs w:val="20"/>
          <w:lang w:eastAsia="en-US"/>
        </w:rPr>
        <w:t xml:space="preserve">, </w:t>
      </w:r>
      <w:r w:rsidR="00A25FF0">
        <w:rPr>
          <w:rFonts w:cs="Arial"/>
          <w:bCs/>
          <w:sz w:val="20"/>
          <w:szCs w:val="20"/>
          <w:lang w:eastAsia="en-US"/>
        </w:rPr>
        <w:t xml:space="preserve"> 45.23.31.42-6 Roboty w zakresie naprawy dróg.</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6FE2435E"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czynności związanych z robotami ziemnymi,</w:t>
      </w:r>
    </w:p>
    <w:p w14:paraId="563F5CF1"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obsługą koparki i innych pojazdów wykorzystywanych podczas budowy,</w:t>
      </w:r>
    </w:p>
    <w:p w14:paraId="57DD63B0" w14:textId="4D38DE3A" w:rsid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układaniem rur sieci wodociągowych</w:t>
      </w:r>
      <w:r w:rsidR="005E2DA2">
        <w:rPr>
          <w:rFonts w:cs="Arial"/>
          <w:bCs/>
          <w:sz w:val="20"/>
          <w:szCs w:val="20"/>
          <w:lang w:eastAsia="en-US"/>
        </w:rPr>
        <w:t>,</w:t>
      </w:r>
    </w:p>
    <w:p w14:paraId="6346447B"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robót instalacyjnych (sanitarne),</w:t>
      </w:r>
    </w:p>
    <w:p w14:paraId="19BE11F4"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obsługą zagęszczarki,</w:t>
      </w:r>
    </w:p>
    <w:p w14:paraId="2BC38D5E"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robót drogowych (przywracanie nawierzchni dróg do stanu pierwotnego).</w:t>
      </w:r>
    </w:p>
    <w:p w14:paraId="6EEFF4E5" w14:textId="10D0FA33" w:rsidR="004E209E" w:rsidRPr="000A031A" w:rsidRDefault="00EE0271" w:rsidP="00652E81">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Obowiązki Wykonawcy z tytułu spełnienia wymogów, o których m</w:t>
      </w:r>
      <w:r w:rsidR="0057024C" w:rsidRPr="000A031A">
        <w:rPr>
          <w:rFonts w:cs="Arial"/>
          <w:bCs/>
          <w:sz w:val="20"/>
          <w:szCs w:val="20"/>
          <w:lang w:eastAsia="en-US"/>
        </w:rPr>
        <w:t>owa w pkt 5</w:t>
      </w:r>
      <w:r w:rsidR="008F3D1D" w:rsidRPr="000A031A">
        <w:rPr>
          <w:rFonts w:cs="Arial"/>
          <w:bCs/>
          <w:sz w:val="20"/>
          <w:szCs w:val="20"/>
          <w:lang w:eastAsia="en-US"/>
        </w:rPr>
        <w:t>.</w:t>
      </w:r>
      <w:r w:rsidR="005E2DA2">
        <w:rPr>
          <w:rFonts w:cs="Arial"/>
          <w:bCs/>
          <w:sz w:val="20"/>
          <w:szCs w:val="20"/>
          <w:lang w:eastAsia="en-US"/>
        </w:rPr>
        <w:t>7</w:t>
      </w:r>
      <w:r w:rsidR="00766FB0" w:rsidRPr="000A031A">
        <w:rPr>
          <w:rFonts w:cs="Arial"/>
          <w:bCs/>
          <w:sz w:val="20"/>
          <w:szCs w:val="20"/>
          <w:lang w:eastAsia="en-US"/>
        </w:rPr>
        <w:t xml:space="preserve"> S</w:t>
      </w:r>
      <w:r w:rsidRPr="000A031A">
        <w:rPr>
          <w:rFonts w:cs="Arial"/>
          <w:bCs/>
          <w:sz w:val="20"/>
          <w:szCs w:val="20"/>
          <w:lang w:eastAsia="en-US"/>
        </w:rPr>
        <w:t xml:space="preserve">WZ określają </w:t>
      </w:r>
      <w:r w:rsidR="0057024C" w:rsidRPr="000A031A">
        <w:rPr>
          <w:rFonts w:cs="Arial"/>
          <w:bCs/>
          <w:sz w:val="20"/>
          <w:szCs w:val="20"/>
          <w:lang w:eastAsia="en-US"/>
        </w:rPr>
        <w:t xml:space="preserve">Projektowane Postanowienia </w:t>
      </w:r>
      <w:r w:rsidRPr="000A031A">
        <w:rPr>
          <w:rFonts w:cs="Arial"/>
          <w:bCs/>
          <w:sz w:val="20"/>
          <w:szCs w:val="20"/>
          <w:lang w:eastAsia="en-US"/>
        </w:rPr>
        <w:t>Umowy (</w:t>
      </w:r>
      <w:r w:rsidR="0057024C" w:rsidRPr="000A031A">
        <w:rPr>
          <w:rFonts w:cs="Arial"/>
          <w:bCs/>
          <w:sz w:val="20"/>
          <w:szCs w:val="20"/>
          <w:lang w:eastAsia="en-US"/>
        </w:rPr>
        <w:t>PP</w:t>
      </w:r>
      <w:r w:rsidRPr="000A031A">
        <w:rPr>
          <w:rFonts w:cs="Arial"/>
          <w:bCs/>
          <w:sz w:val="20"/>
          <w:szCs w:val="20"/>
          <w:lang w:eastAsia="en-US"/>
        </w:rPr>
        <w:t>U).</w:t>
      </w:r>
    </w:p>
    <w:p w14:paraId="24A8FBCC" w14:textId="28879E13" w:rsidR="00694C3B" w:rsidRDefault="00694C3B" w:rsidP="00AA7CED">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5E2DA2">
        <w:rPr>
          <w:rFonts w:cs="Arial"/>
          <w:b/>
          <w:sz w:val="20"/>
          <w:szCs w:val="20"/>
          <w:lang w:eastAsia="en-US"/>
        </w:rPr>
        <w:t xml:space="preserve">nie </w:t>
      </w:r>
      <w:r w:rsidRPr="005C43DE">
        <w:rPr>
          <w:rFonts w:cs="Arial"/>
          <w:b/>
          <w:sz w:val="20"/>
          <w:szCs w:val="20"/>
          <w:lang w:eastAsia="en-US"/>
        </w:rPr>
        <w:t>dopuszcza składani</w:t>
      </w:r>
      <w:r w:rsidR="005E2DA2">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75A33C39" w14:textId="1063BC50" w:rsidR="005E2DA2" w:rsidRPr="005E2DA2" w:rsidRDefault="005E2DA2" w:rsidP="005E2DA2">
      <w:pPr>
        <w:keepNext/>
        <w:numPr>
          <w:ilvl w:val="2"/>
          <w:numId w:val="1"/>
        </w:numPr>
        <w:spacing w:before="120" w:after="120" w:line="276" w:lineRule="auto"/>
        <w:jc w:val="both"/>
        <w:outlineLvl w:val="3"/>
        <w:rPr>
          <w:rFonts w:cs="Arial"/>
          <w:bCs/>
          <w:sz w:val="20"/>
          <w:szCs w:val="20"/>
          <w:lang w:eastAsia="en-US"/>
        </w:rPr>
      </w:pPr>
      <w:bookmarkStart w:id="1" w:name="_Hlk87269018"/>
      <w:r w:rsidRPr="004A3F57">
        <w:rPr>
          <w:rFonts w:cs="Arial"/>
          <w:bCs/>
          <w:sz w:val="20"/>
          <w:szCs w:val="20"/>
          <w:u w:val="single"/>
          <w:lang w:eastAsia="en-US"/>
        </w:rPr>
        <w:t>Powody niedokonania podziału zamówienia na części, zgodnie z art. 91 ust. 2 ustawy PZP (t. j. - Dz. U. z 2024 r., poz. 1320).</w:t>
      </w:r>
      <w:r w:rsidRPr="004A3F57">
        <w:rPr>
          <w:rFonts w:cs="Arial"/>
          <w:bCs/>
          <w:sz w:val="20"/>
          <w:szCs w:val="20"/>
          <w:lang w:eastAsia="en-US"/>
        </w:rPr>
        <w:t xml:space="preserve"> </w:t>
      </w:r>
      <w:bookmarkEnd w:id="1"/>
      <w:r w:rsidRPr="005E2DA2">
        <w:rPr>
          <w:rFonts w:cs="Arial"/>
          <w:bCs/>
          <w:sz w:val="20"/>
          <w:szCs w:val="20"/>
          <w:lang w:eastAsia="en-US"/>
        </w:rPr>
        <w:t xml:space="preserve">Zamawiający przeanalizował jego przedmiot pod kątem podziału na części. Zamawiający stwierdził, że zamówienie dotyczące budowy sieci wodociągowej w ul. Ziołowej i Grzybowej w Czersku nie powinno zostać podzielone na części ze względów technicznych i organizacyjnych. Przedmiotem zamówienia są prace budowlane dotyczące jednej dokumentacji projektowej.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w:t>
      </w:r>
      <w:r>
        <w:rPr>
          <w:rFonts w:cs="Arial"/>
          <w:bCs/>
          <w:sz w:val="20"/>
          <w:szCs w:val="20"/>
          <w:lang w:eastAsia="en-US"/>
        </w:rPr>
        <w:br/>
      </w:r>
      <w:r w:rsidRPr="005E2DA2">
        <w:rPr>
          <w:rFonts w:cs="Arial"/>
          <w:bCs/>
          <w:sz w:val="20"/>
          <w:szCs w:val="20"/>
          <w:lang w:eastAsia="en-US"/>
        </w:rPr>
        <w:t>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Ponadto zakres zadania jest bardzo wąski i obejmuje tylko część dokumentacji projektowej.</w:t>
      </w:r>
      <w:r>
        <w:rPr>
          <w:rFonts w:cs="Arial"/>
          <w:bCs/>
          <w:sz w:val="20"/>
          <w:szCs w:val="20"/>
          <w:lang w:eastAsia="en-US"/>
        </w:rPr>
        <w:t xml:space="preserve"> </w:t>
      </w:r>
      <w:r w:rsidRPr="005E2DA2">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w:t>
      </w:r>
      <w:r>
        <w:rPr>
          <w:rFonts w:cs="Arial"/>
          <w:bCs/>
          <w:sz w:val="20"/>
          <w:szCs w:val="20"/>
          <w:lang w:eastAsia="en-US"/>
        </w:rPr>
        <w:t xml:space="preserve"> </w:t>
      </w:r>
      <w:r w:rsidRPr="005E2DA2">
        <w:rPr>
          <w:rFonts w:cs="Arial"/>
          <w:bCs/>
          <w:sz w:val="20"/>
          <w:szCs w:val="20"/>
          <w:lang w:eastAsia="en-US"/>
        </w:rPr>
        <w:t>PZP).</w:t>
      </w:r>
      <w:r>
        <w:rPr>
          <w:rFonts w:cs="Arial"/>
          <w:bCs/>
          <w:sz w:val="20"/>
          <w:szCs w:val="20"/>
          <w:lang w:eastAsia="en-US"/>
        </w:rPr>
        <w:t xml:space="preserve"> </w:t>
      </w:r>
      <w:r w:rsidRPr="005E2DA2">
        <w:rPr>
          <w:rFonts w:cs="Arial"/>
          <w:bCs/>
          <w:sz w:val="20"/>
          <w:szCs w:val="20"/>
          <w:lang w:eastAsia="en-US"/>
        </w:rPr>
        <w:t xml:space="preserve">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w:t>
      </w:r>
      <w:r w:rsidRPr="005E2DA2">
        <w:rPr>
          <w:rFonts w:cs="Arial"/>
          <w:bCs/>
          <w:sz w:val="20"/>
          <w:szCs w:val="20"/>
          <w:lang w:eastAsia="en-US"/>
        </w:rPr>
        <w:lastRenderedPageBreak/>
        <w:t xml:space="preserve">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w:t>
      </w:r>
      <w:r>
        <w:rPr>
          <w:rFonts w:cs="Arial"/>
          <w:bCs/>
          <w:sz w:val="20"/>
          <w:szCs w:val="20"/>
          <w:lang w:eastAsia="en-US"/>
        </w:rPr>
        <w:br/>
      </w:r>
      <w:r w:rsidRPr="005E2DA2">
        <w:rPr>
          <w:rFonts w:cs="Arial"/>
          <w:bCs/>
          <w:sz w:val="20"/>
          <w:szCs w:val="20"/>
          <w:lang w:eastAsia="en-US"/>
        </w:rPr>
        <w:t xml:space="preserve">z podziału zamówienia na części, ponieważ taki podział groziłby nadmiernymi trudnościami technicznymi i organizacyjnymi w prawidłowym prowadzeniu budowy. W związku </w:t>
      </w:r>
      <w:r>
        <w:rPr>
          <w:rFonts w:cs="Arial"/>
          <w:bCs/>
          <w:sz w:val="20"/>
          <w:szCs w:val="20"/>
          <w:lang w:eastAsia="en-US"/>
        </w:rPr>
        <w:br/>
      </w:r>
      <w:r w:rsidRPr="005E2DA2">
        <w:rPr>
          <w:rFonts w:cs="Arial"/>
          <w:bCs/>
          <w:sz w:val="20"/>
          <w:szCs w:val="20"/>
          <w:lang w:eastAsia="en-US"/>
        </w:rPr>
        <w:t>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38EF63CE" w14:textId="4A412E22" w:rsidR="00694C3B" w:rsidRPr="00D603EE" w:rsidRDefault="00694C3B" w:rsidP="003D402F">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3585388A"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Pr="00AE427C">
        <w:rPr>
          <w:rFonts w:cs="Arial"/>
          <w:b/>
          <w:sz w:val="20"/>
          <w:szCs w:val="20"/>
        </w:rPr>
        <w:t xml:space="preserve">do </w:t>
      </w:r>
      <w:r w:rsidR="005E2DA2">
        <w:rPr>
          <w:b/>
          <w:bCs/>
          <w:sz w:val="20"/>
          <w:szCs w:val="20"/>
        </w:rPr>
        <w:t>6</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6A51DD74"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1A2B31">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w:t>
      </w:r>
      <w:r w:rsidRPr="00766FB0">
        <w:rPr>
          <w:rFonts w:ascii="Arial" w:hAnsi="Arial" w:cs="Arial"/>
          <w:sz w:val="20"/>
          <w:szCs w:val="20"/>
        </w:rPr>
        <w:lastRenderedPageBreak/>
        <w:t xml:space="preserve">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791E9984"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1A2B31">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5C04A6F" w14:textId="77777777" w:rsidR="005E2DA2" w:rsidRPr="00766FB0" w:rsidRDefault="005E2DA2" w:rsidP="005E2DA2">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4CF47444" w14:textId="77777777" w:rsidR="005E2DA2" w:rsidRPr="00CB5094" w:rsidRDefault="005E2DA2" w:rsidP="005E2DA2">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591D3CC7" w14:textId="77777777" w:rsidR="005E2DA2" w:rsidRPr="00CB5094" w:rsidRDefault="005E2DA2" w:rsidP="005E2DA2">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1B18398" w14:textId="77777777" w:rsidR="005E2DA2" w:rsidRPr="00CB5094" w:rsidRDefault="005E2DA2" w:rsidP="005E2DA2">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22124E3D" w14:textId="77777777" w:rsidR="005E2DA2" w:rsidRPr="00CB5094" w:rsidRDefault="005E2DA2" w:rsidP="005E2DA2">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335042D7"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Pr>
          <w:rFonts w:cs="Arial"/>
          <w:sz w:val="20"/>
          <w:szCs w:val="20"/>
        </w:rPr>
        <w:t>3</w:t>
      </w:r>
      <w:r w:rsidRPr="00F738D0">
        <w:rPr>
          <w:rFonts w:cs="Arial"/>
          <w:sz w:val="20"/>
          <w:szCs w:val="20"/>
        </w:rPr>
        <w:t xml:space="preserve"> r. poz. </w:t>
      </w:r>
      <w:r>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Pr>
          <w:rFonts w:cs="Arial"/>
          <w:sz w:val="20"/>
          <w:szCs w:val="20"/>
        </w:rPr>
        <w:t xml:space="preserve">4 </w:t>
      </w:r>
      <w:r w:rsidRPr="00F738D0">
        <w:rPr>
          <w:rFonts w:cs="Arial"/>
          <w:sz w:val="20"/>
          <w:szCs w:val="20"/>
        </w:rPr>
        <w:t xml:space="preserve">r. poz. </w:t>
      </w:r>
      <w:r>
        <w:rPr>
          <w:rFonts w:cs="Arial"/>
          <w:sz w:val="20"/>
          <w:szCs w:val="20"/>
        </w:rPr>
        <w:t>930</w:t>
      </w:r>
      <w:r w:rsidRPr="00F738D0">
        <w:rPr>
          <w:rFonts w:cs="Arial"/>
          <w:sz w:val="20"/>
          <w:szCs w:val="20"/>
        </w:rPr>
        <w:t>)</w:t>
      </w:r>
    </w:p>
    <w:p w14:paraId="2921134A"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74EDC7E9"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611B212A"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68D43B45"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0F2BF4D" w14:textId="77777777" w:rsidR="005E2DA2" w:rsidRPr="00F738D0" w:rsidRDefault="005E2DA2" w:rsidP="005E2DA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BA1C2C3" w14:textId="77777777" w:rsidR="005E2DA2" w:rsidRPr="00F738D0" w:rsidRDefault="005E2DA2" w:rsidP="005E2DA2">
      <w:pPr>
        <w:keepNext/>
        <w:spacing w:before="120" w:after="120"/>
        <w:ind w:left="1985"/>
        <w:jc w:val="both"/>
        <w:outlineLvl w:val="3"/>
        <w:rPr>
          <w:rFonts w:cs="Arial"/>
          <w:sz w:val="20"/>
          <w:szCs w:val="20"/>
        </w:rPr>
      </w:pPr>
      <w:r w:rsidRPr="00F738D0">
        <w:rPr>
          <w:rFonts w:cs="Arial"/>
          <w:sz w:val="20"/>
          <w:szCs w:val="20"/>
        </w:rPr>
        <w:lastRenderedPageBreak/>
        <w:t>- lub za odpowiedni czyn zabroniony określony w przepisach prawa obcego;</w:t>
      </w:r>
    </w:p>
    <w:p w14:paraId="37B9B238" w14:textId="77777777" w:rsidR="005E2DA2" w:rsidRPr="00F738D0" w:rsidRDefault="005E2DA2" w:rsidP="005E2DA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69F6E017" w14:textId="77777777" w:rsidR="005E2DA2" w:rsidRPr="00F738D0" w:rsidRDefault="005E2DA2" w:rsidP="005E2DA2">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FFB2B7" w14:textId="77777777" w:rsidR="005E2DA2" w:rsidRPr="00F738D0" w:rsidRDefault="005E2DA2" w:rsidP="005E2DA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7277E095" w14:textId="77777777" w:rsidR="005E2DA2" w:rsidRPr="00F738D0" w:rsidRDefault="005E2DA2" w:rsidP="005E2DA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BEFA69E" w14:textId="77777777" w:rsidR="005E2DA2" w:rsidRPr="00F738D0" w:rsidRDefault="005E2DA2" w:rsidP="005E2DA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33D7EA38" w14:textId="77777777" w:rsidR="005E2DA2" w:rsidRPr="00CB5094" w:rsidRDefault="005E2DA2" w:rsidP="005E2DA2">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7D4132B1" w14:textId="77777777" w:rsidR="005E2DA2" w:rsidRPr="00CB5094" w:rsidRDefault="005E2DA2" w:rsidP="005E2DA2">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942B406" w14:textId="77777777" w:rsidR="005E2DA2" w:rsidRDefault="005E2DA2" w:rsidP="005E2DA2">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1F01309C" w14:textId="77777777" w:rsidR="005E2DA2" w:rsidRDefault="005E2DA2" w:rsidP="005E2DA2">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BB28FC4" w14:textId="77777777" w:rsidR="005E2DA2" w:rsidRPr="00C80464" w:rsidRDefault="005E2DA2" w:rsidP="005E2DA2">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C42036E" w14:textId="77777777" w:rsidR="005E2DA2" w:rsidRPr="00C80464" w:rsidRDefault="005E2DA2" w:rsidP="005E2DA2">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6B8A79C3" w14:textId="77777777" w:rsidR="005E2DA2" w:rsidRDefault="005E2DA2" w:rsidP="005E2DA2">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120, 295 i 1598</w:t>
      </w:r>
      <w:r w:rsidRPr="00C80464">
        <w:rPr>
          <w:rFonts w:ascii="Arial"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w:t>
      </w:r>
      <w:r w:rsidRPr="00C80464">
        <w:rPr>
          <w:rFonts w:ascii="Arial" w:hAnsi="Arial" w:cs="Arial"/>
          <w:sz w:val="20"/>
          <w:szCs w:val="20"/>
        </w:rPr>
        <w:lastRenderedPageBreak/>
        <w:t>sprawie wpisu na listę rozstrzygającej o zastosowaniu środka, o którym mowa w art. 1 pkt 3 ustawy</w:t>
      </w:r>
      <w:r>
        <w:rPr>
          <w:rFonts w:ascii="Arial" w:hAnsi="Arial" w:cs="Arial"/>
          <w:sz w:val="20"/>
          <w:szCs w:val="20"/>
        </w:rPr>
        <w:t>.</w:t>
      </w:r>
    </w:p>
    <w:p w14:paraId="3A6E0FC6" w14:textId="77777777" w:rsidR="005E2DA2" w:rsidRPr="00F245BD"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2B5FE1FE" w14:textId="77777777" w:rsidR="005E2DA2"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Pr>
          <w:rFonts w:ascii="Arial" w:hAnsi="Arial" w:cs="Arial"/>
          <w:sz w:val="20"/>
          <w:szCs w:val="20"/>
        </w:rPr>
        <w:t>e</w:t>
      </w:r>
      <w:r w:rsidRPr="001609D4">
        <w:rPr>
          <w:rFonts w:ascii="Arial" w:hAnsi="Arial" w:cs="Arial"/>
          <w:sz w:val="20"/>
          <w:szCs w:val="20"/>
        </w:rPr>
        <w:t>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86D968E" w14:textId="77777777" w:rsidR="005E2DA2" w:rsidRPr="00956052"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3F3591CA" w14:textId="77777777" w:rsidR="005E2DA2" w:rsidRPr="00956052"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526C1D0" w14:textId="77777777" w:rsidR="005E2DA2" w:rsidRPr="00956052"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AE5EA5B" w14:textId="77777777" w:rsidR="005E2DA2" w:rsidRPr="00956052" w:rsidRDefault="005E2DA2" w:rsidP="005E2DA2">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619AB582" w:rsidR="00E73D1D" w:rsidRPr="00E73D1D" w:rsidRDefault="00A70B20" w:rsidP="00E73D1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3D0803BE"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778472ED"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2F39E54F" w:rsidR="00A70B20" w:rsidRPr="00224C7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60D55FAF" w14:textId="42E4161E" w:rsidR="00942162" w:rsidRPr="006A37C1" w:rsidRDefault="00A70B20" w:rsidP="0094216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bookmarkStart w:id="2" w:name="_Hlk81208411"/>
    </w:p>
    <w:p w14:paraId="41A9E6C7" w14:textId="5B1EE13D" w:rsidR="001A2B31" w:rsidRPr="009F1D84" w:rsidRDefault="001A2B31" w:rsidP="001A2B31">
      <w:pPr>
        <w:keepNext/>
        <w:numPr>
          <w:ilvl w:val="3"/>
          <w:numId w:val="1"/>
        </w:numPr>
        <w:spacing w:before="120" w:after="120" w:line="276" w:lineRule="auto"/>
        <w:ind w:left="1985" w:hanging="905"/>
        <w:jc w:val="both"/>
        <w:outlineLvl w:val="3"/>
        <w:rPr>
          <w:rFonts w:cs="Arial"/>
          <w:sz w:val="20"/>
          <w:szCs w:val="20"/>
          <w:lang w:eastAsia="en-US"/>
        </w:rPr>
      </w:pPr>
      <w:r w:rsidRPr="009F1D84">
        <w:rPr>
          <w:rFonts w:cs="Arial"/>
          <w:sz w:val="20"/>
          <w:szCs w:val="20"/>
          <w:lang w:eastAsia="en-US"/>
        </w:rPr>
        <w:lastRenderedPageBreak/>
        <w:t>Zamawiający żąda od Wykonawcy wskazania osób, które będą uczestniczyć</w:t>
      </w:r>
      <w:r>
        <w:rPr>
          <w:rFonts w:cs="Arial"/>
          <w:sz w:val="20"/>
          <w:szCs w:val="20"/>
          <w:lang w:eastAsia="en-US"/>
        </w:rPr>
        <w:t xml:space="preserve"> </w:t>
      </w:r>
      <w:r w:rsidRPr="009F1D84">
        <w:rPr>
          <w:rFonts w:cs="Arial"/>
          <w:sz w:val="20"/>
          <w:szCs w:val="20"/>
          <w:lang w:eastAsia="en-US"/>
        </w:rPr>
        <w:t>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p w14:paraId="7AF5C2F5" w14:textId="0DD3900A" w:rsidR="00DF0E6B" w:rsidRPr="001A2B31" w:rsidRDefault="00DF0E6B" w:rsidP="00E63A35">
      <w:pPr>
        <w:keepNext/>
        <w:numPr>
          <w:ilvl w:val="4"/>
          <w:numId w:val="1"/>
        </w:numPr>
        <w:spacing w:before="120" w:after="120" w:line="276" w:lineRule="auto"/>
        <w:jc w:val="both"/>
        <w:outlineLvl w:val="3"/>
        <w:rPr>
          <w:rFonts w:cs="Arial"/>
          <w:sz w:val="20"/>
          <w:szCs w:val="20"/>
          <w:lang w:eastAsia="en-US"/>
        </w:rPr>
      </w:pPr>
      <w:r w:rsidRPr="001A2B31">
        <w:rPr>
          <w:rFonts w:cs="Arial"/>
          <w:sz w:val="20"/>
          <w:szCs w:val="20"/>
          <w:lang w:eastAsia="en-US"/>
        </w:rPr>
        <w:t xml:space="preserve">Wykonawca skieruje do realizacji zamówienia </w:t>
      </w:r>
      <w:r w:rsidRPr="001A2B31">
        <w:rPr>
          <w:rFonts w:cs="Arial"/>
          <w:b/>
          <w:bCs/>
          <w:sz w:val="20"/>
          <w:szCs w:val="20"/>
          <w:lang w:eastAsia="en-US"/>
        </w:rPr>
        <w:t xml:space="preserve">osobę, która będzie pełnić funkcję kierownika robót </w:t>
      </w:r>
      <w:r w:rsidR="00A07F0E" w:rsidRPr="001A2B31">
        <w:rPr>
          <w:rFonts w:cs="Arial"/>
          <w:b/>
          <w:bCs/>
          <w:sz w:val="20"/>
          <w:szCs w:val="20"/>
          <w:lang w:eastAsia="en-US"/>
        </w:rPr>
        <w:t xml:space="preserve">branży sanitarnej, posiadającą uprawnienia budowlane do kierowania robotami budowlanymi w specjalności instalacyjnej w zakresie sieci, instalacji i urządzeń: cieplnych, wentylacyjnych, gazowych, wodociągowych i kanalizacyjnych </w:t>
      </w:r>
      <w:r w:rsidR="00A07F0E" w:rsidRPr="001A2B31">
        <w:rPr>
          <w:rFonts w:cs="Arial"/>
          <w:b/>
          <w:bCs/>
          <w:sz w:val="20"/>
          <w:szCs w:val="20"/>
          <w:u w:val="single"/>
          <w:lang w:eastAsia="en-US"/>
        </w:rPr>
        <w:t>bez ograniczeń</w:t>
      </w:r>
      <w:r w:rsidRPr="001A2B31">
        <w:rPr>
          <w:rFonts w:cs="Arial"/>
          <w:sz w:val="20"/>
          <w:szCs w:val="20"/>
          <w:lang w:eastAsia="en-US"/>
        </w:rPr>
        <w:t>, w rozumieniu ustawy z dnia 7 lipca 1994 r. Prawo budowlane (t. j. - Dz. U. z 202</w:t>
      </w:r>
      <w:r w:rsidR="001A2B31" w:rsidRPr="001A2B31">
        <w:rPr>
          <w:rFonts w:cs="Arial"/>
          <w:sz w:val="20"/>
          <w:szCs w:val="20"/>
          <w:lang w:eastAsia="en-US"/>
        </w:rPr>
        <w:t>4</w:t>
      </w:r>
      <w:r w:rsidRPr="001A2B31">
        <w:rPr>
          <w:rFonts w:cs="Arial"/>
          <w:sz w:val="20"/>
          <w:szCs w:val="20"/>
          <w:lang w:eastAsia="en-US"/>
        </w:rPr>
        <w:t xml:space="preserve"> r. poz. </w:t>
      </w:r>
      <w:r w:rsidR="001A2B31" w:rsidRPr="001A2B31">
        <w:rPr>
          <w:rFonts w:cs="Arial"/>
          <w:sz w:val="20"/>
          <w:szCs w:val="20"/>
          <w:lang w:eastAsia="en-US"/>
        </w:rPr>
        <w:t>725</w:t>
      </w:r>
      <w:r w:rsidR="005E2DA2">
        <w:rPr>
          <w:rFonts w:cs="Arial"/>
          <w:sz w:val="20"/>
          <w:szCs w:val="20"/>
          <w:lang w:eastAsia="en-US"/>
        </w:rPr>
        <w:t xml:space="preserve"> ze zm.</w:t>
      </w:r>
      <w:r w:rsidRPr="001A2B31">
        <w:rPr>
          <w:rFonts w:cs="Arial"/>
          <w:sz w:val="20"/>
          <w:szCs w:val="20"/>
          <w:lang w:eastAsia="en-US"/>
        </w:rPr>
        <w:t>) oraz Rozporządzenie Ministra Inwestycji i Rozwoju z dn. 29.04.2019 r. w sprawie przygotowania zawodowego do wykonywania samodzielnych funkcji technicznych w budownictwie (Dz.U. z 2019 r. poz. 831).</w:t>
      </w:r>
    </w:p>
    <w:p w14:paraId="5652C08B" w14:textId="3FD678F1" w:rsidR="00386CFB" w:rsidRPr="00A07F0E" w:rsidRDefault="00386CFB" w:rsidP="00A07F0E">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sidR="001A2B31">
        <w:rPr>
          <w:rFonts w:ascii="Arial" w:hAnsi="Arial" w:cs="Arial"/>
          <w:b w:val="0"/>
          <w:i/>
          <w:sz w:val="20"/>
        </w:rPr>
        <w:t>4</w:t>
      </w:r>
      <w:r w:rsidRPr="00A07F0E">
        <w:rPr>
          <w:rFonts w:ascii="Arial" w:hAnsi="Arial" w:cs="Arial"/>
          <w:b w:val="0"/>
          <w:i/>
          <w:sz w:val="20"/>
        </w:rPr>
        <w:t xml:space="preserve"> r. poz. </w:t>
      </w:r>
      <w:r w:rsidR="001A2B31">
        <w:rPr>
          <w:rFonts w:ascii="Arial" w:hAnsi="Arial" w:cs="Arial"/>
          <w:b w:val="0"/>
          <w:i/>
          <w:sz w:val="20"/>
        </w:rPr>
        <w:t>725</w:t>
      </w:r>
      <w:r w:rsidR="005E2DA2">
        <w:rPr>
          <w:rFonts w:ascii="Arial" w:hAnsi="Arial" w:cs="Arial"/>
          <w:b w:val="0"/>
          <w:i/>
          <w:sz w:val="20"/>
        </w:rPr>
        <w:t xml:space="preserve"> ze zm.</w:t>
      </w:r>
      <w:r w:rsidRPr="00A07F0E">
        <w:rPr>
          <w:rFonts w:ascii="Arial" w:hAnsi="Arial" w:cs="Arial"/>
          <w:b w:val="0"/>
          <w:i/>
          <w:sz w:val="20"/>
        </w:rPr>
        <w:t xml:space="preserve">) oraz ustawy o zasadach uznawania kwalifikacji zawodowych nabytych w państwach członkowskich Unii Europejskiej </w:t>
      </w:r>
      <w:bookmarkStart w:id="3" w:name="_Hlk110497770"/>
      <w:r w:rsidR="001A2B31" w:rsidRPr="00A07F0E">
        <w:rPr>
          <w:rFonts w:ascii="Arial" w:hAnsi="Arial" w:cs="Arial"/>
          <w:b w:val="0"/>
          <w:i/>
          <w:sz w:val="20"/>
        </w:rPr>
        <w:t>(t. j.-Dz. U. z 202</w:t>
      </w:r>
      <w:r w:rsidR="001A2B31">
        <w:rPr>
          <w:rFonts w:ascii="Arial" w:hAnsi="Arial" w:cs="Arial"/>
          <w:b w:val="0"/>
          <w:i/>
          <w:sz w:val="20"/>
        </w:rPr>
        <w:t>3</w:t>
      </w:r>
      <w:r w:rsidR="001A2B31" w:rsidRPr="00A07F0E">
        <w:rPr>
          <w:rFonts w:ascii="Arial" w:hAnsi="Arial" w:cs="Arial"/>
          <w:b w:val="0"/>
          <w:i/>
          <w:sz w:val="20"/>
        </w:rPr>
        <w:t xml:space="preserve"> r. poz. </w:t>
      </w:r>
      <w:r w:rsidR="001A2B31">
        <w:rPr>
          <w:rFonts w:ascii="Arial" w:hAnsi="Arial" w:cs="Arial"/>
          <w:b w:val="0"/>
          <w:i/>
          <w:sz w:val="20"/>
        </w:rPr>
        <w:t>334</w:t>
      </w:r>
      <w:r w:rsidR="001A2B31" w:rsidRPr="00A07F0E">
        <w:rPr>
          <w:rFonts w:ascii="Arial" w:hAnsi="Arial" w:cs="Arial"/>
          <w:b w:val="0"/>
          <w:i/>
          <w:sz w:val="20"/>
        </w:rPr>
        <w:t>).</w:t>
      </w:r>
      <w:bookmarkEnd w:id="3"/>
    </w:p>
    <w:bookmarkEnd w:id="2"/>
    <w:p w14:paraId="0F2B82E1" w14:textId="1AE0EBB2" w:rsidR="00DF0E6B" w:rsidRDefault="00A70B20" w:rsidP="00A07F0E">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A22A4DC" w14:textId="77777777" w:rsidR="005E2DA2" w:rsidRDefault="005E2DA2" w:rsidP="005E2DA2">
      <w:pPr>
        <w:spacing w:before="120" w:after="120"/>
        <w:ind w:right="92"/>
        <w:jc w:val="both"/>
        <w:rPr>
          <w:rFonts w:cs="Arial"/>
          <w:sz w:val="20"/>
          <w:szCs w:val="20"/>
        </w:rPr>
      </w:pPr>
    </w:p>
    <w:p w14:paraId="7C877E62" w14:textId="77777777" w:rsidR="005E2DA2" w:rsidRPr="005E2DA2" w:rsidRDefault="005E2DA2" w:rsidP="005E2DA2">
      <w:pPr>
        <w:spacing w:before="120" w:after="120"/>
        <w:ind w:right="92"/>
        <w:jc w:val="both"/>
        <w:rPr>
          <w:rFonts w:cs="Arial"/>
          <w:sz w:val="20"/>
          <w:szCs w:val="20"/>
        </w:rPr>
      </w:pPr>
    </w:p>
    <w:p w14:paraId="33FD8CCA" w14:textId="435778F2" w:rsidR="00B476B2" w:rsidRDefault="00B476B2" w:rsidP="00B476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B476B2">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B476B2">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DF0E6B">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52211FCD" w:rsidR="00DF0E6B" w:rsidRPr="00644010" w:rsidRDefault="00DF0E6B" w:rsidP="00DF0E6B">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sidR="00317A1D">
        <w:rPr>
          <w:rFonts w:cs="Arial"/>
          <w:b/>
          <w:sz w:val="20"/>
          <w:szCs w:val="20"/>
          <w:lang w:eastAsia="en-US"/>
        </w:rPr>
        <w:t>0</w:t>
      </w:r>
      <w:r w:rsidRPr="00A920AF">
        <w:rPr>
          <w:rFonts w:cs="Arial"/>
          <w:b/>
          <w:sz w:val="20"/>
          <w:szCs w:val="20"/>
          <w:lang w:eastAsia="en-US"/>
        </w:rPr>
        <w:t xml:space="preserve"> do SWZ.</w:t>
      </w:r>
    </w:p>
    <w:p w14:paraId="00DEC23A" w14:textId="0406FE05" w:rsidR="00DF0E6B" w:rsidRPr="00A920AF" w:rsidRDefault="00DF0E6B" w:rsidP="00DF0E6B">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 xml:space="preserve">także oświadczenie podmiotu udostępniającego zasoby, potwierdzające brak podstaw wykluczenia tego podmiotu oraz odpowiednio spełnianie warunków </w:t>
      </w:r>
      <w:r w:rsidRPr="00A920AF">
        <w:rPr>
          <w:rFonts w:cs="Arial"/>
          <w:b/>
          <w:sz w:val="20"/>
          <w:szCs w:val="20"/>
          <w:lang w:eastAsia="en-US"/>
        </w:rPr>
        <w:lastRenderedPageBreak/>
        <w:t>udziału w postępowaniu, w zakresie, w jakim wykonawca powołuje się na jego zasoby, zgodnie z załącznik</w:t>
      </w:r>
      <w:r>
        <w:rPr>
          <w:rFonts w:cs="Arial"/>
          <w:b/>
          <w:sz w:val="20"/>
          <w:szCs w:val="20"/>
          <w:lang w:eastAsia="en-US"/>
        </w:rPr>
        <w:t xml:space="preserve">iem nr </w:t>
      </w:r>
      <w:r w:rsidR="00317A1D">
        <w:rPr>
          <w:rFonts w:cs="Arial"/>
          <w:b/>
          <w:sz w:val="20"/>
          <w:szCs w:val="20"/>
          <w:lang w:eastAsia="en-US"/>
        </w:rPr>
        <w:t>9</w:t>
      </w:r>
      <w:r>
        <w:rPr>
          <w:rFonts w:cs="Arial"/>
          <w:b/>
          <w:sz w:val="20"/>
          <w:szCs w:val="20"/>
          <w:lang w:eastAsia="en-US"/>
        </w:rPr>
        <w:t xml:space="preserve"> </w:t>
      </w:r>
      <w:r w:rsidRPr="00A920AF">
        <w:rPr>
          <w:rFonts w:cs="Arial"/>
          <w:b/>
          <w:sz w:val="20"/>
          <w:szCs w:val="20"/>
          <w:lang w:eastAsia="en-US"/>
        </w:rPr>
        <w:t>do SWZ.</w:t>
      </w:r>
    </w:p>
    <w:p w14:paraId="7CCDCA9D" w14:textId="449FD1F1" w:rsidR="00DF0E6B" w:rsidRPr="002A1B7A" w:rsidRDefault="00DF0E6B" w:rsidP="00DF0E6B">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 xml:space="preserve">zał. nr </w:t>
      </w:r>
      <w:r w:rsidR="00317A1D">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731E3E" w:rsidRDefault="00721A3C" w:rsidP="00721A3C">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118DE6E" w:rsidR="00A70B20" w:rsidRPr="0091560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sidR="009B371C">
        <w:rPr>
          <w:rFonts w:cs="Arial"/>
          <w:b/>
          <w:sz w:val="20"/>
          <w:szCs w:val="20"/>
          <w:lang w:eastAsia="en-US"/>
        </w:rPr>
        <w:br/>
      </w:r>
      <w:r w:rsidRPr="00915605">
        <w:rPr>
          <w:rFonts w:cs="Arial"/>
          <w:b/>
          <w:sz w:val="20"/>
          <w:szCs w:val="20"/>
          <w:lang w:eastAsia="en-US"/>
        </w:rPr>
        <w:t>w postępowaniu:</w:t>
      </w:r>
    </w:p>
    <w:p w14:paraId="5BF867C7" w14:textId="6B210999" w:rsidR="00DF0E6B" w:rsidRPr="00496461" w:rsidRDefault="00DF0E6B" w:rsidP="00DF0E6B">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 xml:space="preserve">zoru stanowiącego załącznik nr </w:t>
      </w:r>
      <w:r w:rsidR="000463E1">
        <w:rPr>
          <w:rFonts w:ascii="Arial" w:hAnsi="Arial" w:cs="Arial"/>
          <w:sz w:val="20"/>
        </w:rPr>
        <w:t>3</w:t>
      </w:r>
      <w:r w:rsidR="00D066AF">
        <w:rPr>
          <w:rFonts w:ascii="Arial" w:hAnsi="Arial" w:cs="Arial"/>
          <w:sz w:val="20"/>
        </w:rPr>
        <w:t xml:space="preserve"> </w:t>
      </w:r>
      <w:r>
        <w:rPr>
          <w:rFonts w:ascii="Arial" w:hAnsi="Arial" w:cs="Arial"/>
          <w:sz w:val="20"/>
        </w:rPr>
        <w:t>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7AC0E771"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4" w:name="_Hlk81208642"/>
      <w:r w:rsidR="009B371C" w:rsidRPr="009C0E1A">
        <w:rPr>
          <w:rFonts w:cs="Arial"/>
          <w:sz w:val="20"/>
          <w:szCs w:val="20"/>
        </w:rPr>
        <w:t>(t. j. - Dz. U. z 202</w:t>
      </w:r>
      <w:r w:rsidR="005E2DA2">
        <w:rPr>
          <w:rFonts w:cs="Arial"/>
          <w:sz w:val="20"/>
          <w:szCs w:val="20"/>
        </w:rPr>
        <w:t>4</w:t>
      </w:r>
      <w:r w:rsidR="009B371C" w:rsidRPr="009C0E1A">
        <w:rPr>
          <w:rFonts w:cs="Arial"/>
          <w:sz w:val="20"/>
          <w:szCs w:val="20"/>
        </w:rPr>
        <w:t xml:space="preserve"> r. poz. </w:t>
      </w:r>
      <w:r w:rsidR="005E2DA2">
        <w:rPr>
          <w:rFonts w:cs="Arial"/>
          <w:sz w:val="20"/>
          <w:szCs w:val="20"/>
        </w:rPr>
        <w:t>1616</w:t>
      </w:r>
      <w:r w:rsidR="009B371C" w:rsidRPr="009C0E1A">
        <w:rPr>
          <w:rFonts w:cs="Arial"/>
          <w:sz w:val="20"/>
          <w:szCs w:val="20"/>
        </w:rPr>
        <w:t xml:space="preserve">), </w:t>
      </w:r>
      <w:bookmarkEnd w:id="4"/>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0463E1">
        <w:rPr>
          <w:rFonts w:cs="Arial"/>
          <w:b/>
          <w:sz w:val="20"/>
          <w:szCs w:val="20"/>
          <w:lang w:eastAsia="en-US"/>
        </w:rPr>
        <w:t>8</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lastRenderedPageBreak/>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A6191D">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A6191D">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A6191D">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w:t>
      </w:r>
      <w:r w:rsidRPr="00AF5D7A">
        <w:rPr>
          <w:rFonts w:cs="Arial"/>
          <w:b/>
          <w:sz w:val="20"/>
          <w:szCs w:val="20"/>
          <w:lang w:eastAsia="en-US"/>
        </w:rPr>
        <w:lastRenderedPageBreak/>
        <w:t xml:space="preserve">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w:t>
      </w:r>
      <w:r w:rsidRPr="007B17F6">
        <w:rPr>
          <w:rFonts w:cs="Arial"/>
          <w:sz w:val="20"/>
          <w:szCs w:val="20"/>
          <w:lang w:eastAsia="en-US"/>
        </w:rPr>
        <w:lastRenderedPageBreak/>
        <w:t xml:space="preserve">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7B17F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24D1EE25"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5E2DA2">
        <w:rPr>
          <w:rFonts w:cs="Arial"/>
          <w:b/>
          <w:sz w:val="20"/>
          <w:szCs w:val="20"/>
          <w:lang w:eastAsia="en-US"/>
        </w:rPr>
        <w:t>26</w:t>
      </w:r>
      <w:r w:rsidR="00612652" w:rsidRPr="009B371C">
        <w:rPr>
          <w:rFonts w:cs="Arial"/>
          <w:b/>
          <w:sz w:val="20"/>
          <w:szCs w:val="20"/>
          <w:lang w:eastAsia="en-US"/>
        </w:rPr>
        <w:t>.</w:t>
      </w:r>
      <w:r w:rsidR="005E2DA2">
        <w:rPr>
          <w:rFonts w:cs="Arial"/>
          <w:b/>
          <w:sz w:val="20"/>
          <w:szCs w:val="20"/>
          <w:lang w:eastAsia="en-US"/>
        </w:rPr>
        <w:t>12</w:t>
      </w:r>
      <w:r w:rsidR="006943EC" w:rsidRPr="009B371C">
        <w:rPr>
          <w:rFonts w:cs="Arial"/>
          <w:b/>
          <w:sz w:val="20"/>
          <w:szCs w:val="20"/>
          <w:lang w:eastAsia="en-US"/>
        </w:rPr>
        <w:t>.</w:t>
      </w:r>
      <w:r w:rsidRPr="009B371C">
        <w:rPr>
          <w:rFonts w:cs="Arial"/>
          <w:b/>
          <w:sz w:val="20"/>
          <w:szCs w:val="20"/>
          <w:lang w:eastAsia="en-US"/>
        </w:rPr>
        <w:t>202</w:t>
      </w:r>
      <w:r w:rsidR="009B371C" w:rsidRPr="009B371C">
        <w:rPr>
          <w:rFonts w:cs="Arial"/>
          <w:b/>
          <w:sz w:val="20"/>
          <w:szCs w:val="20"/>
          <w:lang w:eastAsia="en-US"/>
        </w:rPr>
        <w:t>4</w:t>
      </w:r>
      <w:r w:rsidRPr="009B371C">
        <w:rPr>
          <w:rFonts w:cs="Arial"/>
          <w:b/>
          <w:sz w:val="20"/>
          <w:szCs w:val="20"/>
          <w:lang w:eastAsia="en-US"/>
        </w:rPr>
        <w:t xml:space="preserve"> r.</w:t>
      </w:r>
      <w:r w:rsidR="00694C3B" w:rsidRPr="009B371C">
        <w:rPr>
          <w:rFonts w:cs="Arial"/>
          <w:b/>
          <w:sz w:val="20"/>
          <w:szCs w:val="20"/>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6DB49DBD"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5E2DA2">
        <w:rPr>
          <w:rFonts w:cs="Arial"/>
          <w:b/>
          <w:sz w:val="20"/>
          <w:szCs w:val="20"/>
          <w:lang w:eastAsia="en-US"/>
        </w:rPr>
        <w:t>27</w:t>
      </w:r>
      <w:r w:rsidR="00BA483A" w:rsidRPr="009B371C">
        <w:rPr>
          <w:rFonts w:cs="Arial"/>
          <w:b/>
          <w:sz w:val="20"/>
          <w:szCs w:val="20"/>
          <w:lang w:eastAsia="en-US"/>
        </w:rPr>
        <w:t>.</w:t>
      </w:r>
      <w:r w:rsidR="005E2DA2">
        <w:rPr>
          <w:rFonts w:cs="Arial"/>
          <w:b/>
          <w:sz w:val="20"/>
          <w:szCs w:val="20"/>
          <w:lang w:eastAsia="en-US"/>
        </w:rPr>
        <w:t>11</w:t>
      </w:r>
      <w:r w:rsidRPr="009B371C">
        <w:rPr>
          <w:rFonts w:cs="Arial"/>
          <w:b/>
          <w:sz w:val="20"/>
          <w:szCs w:val="20"/>
          <w:lang w:eastAsia="en-US"/>
        </w:rPr>
        <w:t>.202</w:t>
      </w:r>
      <w:r w:rsidR="009B371C">
        <w:rPr>
          <w:rFonts w:cs="Arial"/>
          <w:b/>
          <w:sz w:val="20"/>
          <w:szCs w:val="20"/>
          <w:lang w:eastAsia="en-US"/>
        </w:rPr>
        <w:t>4</w:t>
      </w:r>
      <w:r w:rsidRPr="009B371C">
        <w:rPr>
          <w:rFonts w:cs="Arial"/>
          <w:b/>
          <w:sz w:val="20"/>
          <w:szCs w:val="20"/>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013B533C" w:rsidR="005B36A7" w:rsidRPr="001E3207"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E2DA2">
        <w:rPr>
          <w:rFonts w:cs="Arial"/>
          <w:b/>
          <w:sz w:val="20"/>
          <w:szCs w:val="20"/>
          <w:lang w:eastAsia="en-US"/>
        </w:rPr>
        <w:t>27</w:t>
      </w:r>
      <w:r w:rsidR="00BA483A" w:rsidRPr="009B371C">
        <w:rPr>
          <w:rFonts w:cs="Arial"/>
          <w:b/>
          <w:sz w:val="20"/>
          <w:szCs w:val="20"/>
          <w:lang w:eastAsia="en-US"/>
        </w:rPr>
        <w:t>.</w:t>
      </w:r>
      <w:r w:rsidR="005E2DA2">
        <w:rPr>
          <w:rFonts w:cs="Arial"/>
          <w:b/>
          <w:sz w:val="20"/>
          <w:szCs w:val="20"/>
          <w:lang w:eastAsia="en-US"/>
        </w:rPr>
        <w:t>11</w:t>
      </w:r>
      <w:r w:rsidR="000558F3" w:rsidRPr="009B371C">
        <w:rPr>
          <w:rFonts w:cs="Arial"/>
          <w:b/>
          <w:sz w:val="20"/>
          <w:szCs w:val="20"/>
          <w:lang w:eastAsia="en-US"/>
        </w:rPr>
        <w:t>.202</w:t>
      </w:r>
      <w:r w:rsidR="009B371C">
        <w:rPr>
          <w:rFonts w:cs="Arial"/>
          <w:b/>
          <w:sz w:val="20"/>
          <w:szCs w:val="20"/>
          <w:lang w:eastAsia="en-US"/>
        </w:rPr>
        <w:t>4</w:t>
      </w:r>
      <w:r w:rsidR="000558F3" w:rsidRPr="009B371C">
        <w:rPr>
          <w:rFonts w:cs="Arial"/>
          <w:b/>
          <w:sz w:val="20"/>
          <w:szCs w:val="20"/>
          <w:lang w:eastAsia="en-US"/>
        </w:rPr>
        <w:t xml:space="preserve"> r.</w:t>
      </w:r>
      <w:r w:rsidR="000558F3" w:rsidRPr="001E3207">
        <w:rPr>
          <w:rFonts w:cs="Arial"/>
          <w:b/>
          <w:sz w:val="20"/>
          <w:szCs w:val="20"/>
          <w:lang w:eastAsia="en-US"/>
        </w:rPr>
        <w:t xml:space="preserve"> o godz. </w:t>
      </w:r>
      <w:r w:rsidR="00421CDA" w:rsidRPr="001E3207">
        <w:rPr>
          <w:rFonts w:cs="Arial"/>
          <w:b/>
          <w:sz w:val="20"/>
          <w:szCs w:val="20"/>
          <w:lang w:eastAsia="en-US"/>
        </w:rPr>
        <w:t>9</w:t>
      </w:r>
      <w:r w:rsidR="000558F3" w:rsidRPr="001E3207">
        <w:rPr>
          <w:rFonts w:cs="Arial"/>
          <w:b/>
          <w:sz w:val="20"/>
          <w:szCs w:val="20"/>
          <w:lang w:eastAsia="en-US"/>
        </w:rPr>
        <w:t>:0</w:t>
      </w:r>
      <w:r w:rsidRPr="001E3207">
        <w:rPr>
          <w:rFonts w:cs="Arial"/>
          <w:b/>
          <w:sz w:val="20"/>
          <w:szCs w:val="20"/>
          <w:lang w:eastAsia="en-US"/>
        </w:rPr>
        <w:t xml:space="preserve">5., </w:t>
      </w:r>
      <w:r w:rsidRPr="001E3207">
        <w:rPr>
          <w:rFonts w:cs="Arial"/>
          <w:sz w:val="20"/>
          <w:szCs w:val="20"/>
          <w:lang w:eastAsia="en-US"/>
        </w:rPr>
        <w:t>tj. zgodnie z art. 222 ust. 1 ustawy Pzp.</w:t>
      </w:r>
      <w:r w:rsidR="005B36A7" w:rsidRPr="001E3207">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lastRenderedPageBreak/>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048E6AA" w14:textId="1EEAA42A" w:rsidR="00D066AF" w:rsidRPr="00C22F8C" w:rsidRDefault="00D066AF" w:rsidP="00C22F8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00C22F8C">
        <w:rPr>
          <w:rFonts w:cs="Arial"/>
          <w:sz w:val="20"/>
          <w:szCs w:val="20"/>
          <w:lang w:eastAsia="en-US"/>
        </w:rPr>
        <w:t xml:space="preserve"> </w:t>
      </w:r>
      <w:r w:rsidR="00C22F8C">
        <w:rPr>
          <w:rFonts w:cs="Arial"/>
          <w:b/>
          <w:sz w:val="20"/>
          <w:szCs w:val="20"/>
          <w:lang w:eastAsia="en-US"/>
        </w:rPr>
        <w:t>1</w:t>
      </w:r>
      <w:r w:rsidRPr="00C22F8C">
        <w:rPr>
          <w:rFonts w:cs="Arial"/>
          <w:b/>
          <w:sz w:val="20"/>
          <w:szCs w:val="20"/>
          <w:lang w:eastAsia="en-US"/>
        </w:rPr>
        <w:t>.000,00 zł</w:t>
      </w:r>
      <w:r w:rsidRPr="00C22F8C">
        <w:rPr>
          <w:rFonts w:cs="Arial"/>
          <w:sz w:val="20"/>
          <w:szCs w:val="20"/>
          <w:lang w:eastAsia="en-US"/>
        </w:rPr>
        <w:t xml:space="preserve"> (słownie złotych: </w:t>
      </w:r>
      <w:r w:rsidR="00C22F8C">
        <w:rPr>
          <w:rFonts w:cs="Arial"/>
          <w:sz w:val="20"/>
          <w:szCs w:val="20"/>
          <w:lang w:eastAsia="en-US"/>
        </w:rPr>
        <w:t>jeden tysiąc</w:t>
      </w:r>
      <w:r w:rsidRPr="00C22F8C">
        <w:rPr>
          <w:rFonts w:cs="Arial"/>
          <w:sz w:val="20"/>
          <w:szCs w:val="20"/>
          <w:lang w:eastAsia="en-US"/>
        </w:rPr>
        <w:t xml:space="preserve"> złotych 00/100).</w:t>
      </w:r>
    </w:p>
    <w:p w14:paraId="26C36537"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8772DB">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2AA8AE4F"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w:t>
      </w:r>
      <w:r w:rsidRPr="00DB2090">
        <w:rPr>
          <w:sz w:val="20"/>
          <w:szCs w:val="20"/>
        </w:rPr>
        <w:lastRenderedPageBreak/>
        <w:t>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 xml:space="preserve">h przedmiot został wskazany przez </w:t>
      </w:r>
      <w:r w:rsidRPr="0077456D">
        <w:rPr>
          <w:rFonts w:cs="Arial"/>
          <w:sz w:val="20"/>
          <w:szCs w:val="20"/>
          <w:lang w:eastAsia="en-US"/>
        </w:rPr>
        <w:lastRenderedPageBreak/>
        <w:t>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1706CCCB"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671D36">
        <w:rPr>
          <w:rFonts w:cs="Arial"/>
          <w:b/>
          <w:sz w:val="20"/>
          <w:szCs w:val="20"/>
          <w:lang w:eastAsia="en-US"/>
        </w:rPr>
        <w:t>4</w:t>
      </w:r>
      <w:r w:rsidRPr="006C014B">
        <w:rPr>
          <w:rFonts w:cs="Arial"/>
          <w:b/>
          <w:sz w:val="20"/>
          <w:szCs w:val="20"/>
          <w:lang w:eastAsia="en-US"/>
        </w:rPr>
        <w:t xml:space="preserve"> do SWZ.</w:t>
      </w:r>
    </w:p>
    <w:p w14:paraId="4FAA879F"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1C03CF03"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671D36">
        <w:rPr>
          <w:sz w:val="20"/>
          <w:szCs w:val="20"/>
          <w:u w:val="single"/>
        </w:rPr>
        <w:t>9</w:t>
      </w:r>
      <w:r w:rsidR="006352D2" w:rsidRPr="00E059E9">
        <w:rPr>
          <w:sz w:val="20"/>
          <w:szCs w:val="20"/>
          <w:u w:val="single"/>
        </w:rPr>
        <w:t xml:space="preserve"> do SWZ.</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736873">
      <w:pPr>
        <w:numPr>
          <w:ilvl w:val="1"/>
          <w:numId w:val="1"/>
        </w:numPr>
        <w:spacing w:before="120" w:after="120" w:line="276" w:lineRule="auto"/>
        <w:jc w:val="both"/>
      </w:pPr>
      <w:r>
        <w:rPr>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736873">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26F58C75" w:rsidR="00736873" w:rsidRPr="00644010" w:rsidRDefault="00736873" w:rsidP="00736873">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sidR="00671D36">
        <w:rPr>
          <w:rFonts w:cs="Arial"/>
          <w:b/>
          <w:sz w:val="20"/>
          <w:szCs w:val="20"/>
          <w:lang w:eastAsia="en-US"/>
        </w:rPr>
        <w:t>0</w:t>
      </w:r>
      <w:r w:rsidRPr="00E059E9">
        <w:rPr>
          <w:rFonts w:cs="Arial"/>
          <w:b/>
          <w:sz w:val="20"/>
          <w:szCs w:val="20"/>
          <w:lang w:eastAsia="en-US"/>
        </w:rPr>
        <w:t xml:space="preserve"> do SWZ.</w:t>
      </w:r>
    </w:p>
    <w:p w14:paraId="169C8247" w14:textId="112019C2" w:rsidR="00D75B1B" w:rsidRPr="00736873" w:rsidRDefault="00736873" w:rsidP="00736873">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61265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5CC243E3" w:rsidR="00612652" w:rsidRPr="00612652" w:rsidRDefault="00612652" w:rsidP="00612652">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Kryterium</w:t>
            </w:r>
          </w:p>
        </w:tc>
        <w:tc>
          <w:tcPr>
            <w:tcW w:w="1842" w:type="dxa"/>
          </w:tcPr>
          <w:p w14:paraId="6F5FB6C8"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Waga [%]</w:t>
            </w:r>
          </w:p>
        </w:tc>
        <w:tc>
          <w:tcPr>
            <w:tcW w:w="1418" w:type="dxa"/>
          </w:tcPr>
          <w:p w14:paraId="45F40EC4"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Liczba punktów</w:t>
            </w:r>
          </w:p>
        </w:tc>
        <w:tc>
          <w:tcPr>
            <w:tcW w:w="4567" w:type="dxa"/>
          </w:tcPr>
          <w:p w14:paraId="3EE755A3"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Sposób oceny wg wzoru</w:t>
            </w:r>
          </w:p>
        </w:tc>
      </w:tr>
      <w:tr w:rsidR="00CB5094" w14:paraId="57F6C08D" w14:textId="77777777" w:rsidTr="00CB5094">
        <w:tc>
          <w:tcPr>
            <w:tcW w:w="1668" w:type="dxa"/>
          </w:tcPr>
          <w:p w14:paraId="173621E4"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Cena ofertowa brutto</w:t>
            </w:r>
          </w:p>
        </w:tc>
        <w:tc>
          <w:tcPr>
            <w:tcW w:w="1842" w:type="dxa"/>
          </w:tcPr>
          <w:p w14:paraId="12BEF0A9"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1418" w:type="dxa"/>
          </w:tcPr>
          <w:p w14:paraId="42234C26"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4567" w:type="dxa"/>
          </w:tcPr>
          <w:p w14:paraId="5F2D35F4"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Cena najtańszej oferty</w:t>
            </w:r>
          </w:p>
          <w:p w14:paraId="647BBDE9" w14:textId="77777777" w:rsidR="00CB5094" w:rsidRPr="00612652" w:rsidRDefault="00CB5094" w:rsidP="00CB5094">
            <w:pPr>
              <w:keepNext/>
              <w:jc w:val="both"/>
              <w:outlineLvl w:val="3"/>
              <w:rPr>
                <w:rFonts w:cs="Arial"/>
                <w:b/>
                <w:sz w:val="18"/>
                <w:szCs w:val="18"/>
                <w:lang w:eastAsia="en-US"/>
              </w:rPr>
            </w:pPr>
            <w:r w:rsidRPr="00612652">
              <w:rPr>
                <w:rFonts w:cs="Arial"/>
                <w:b/>
                <w:sz w:val="18"/>
                <w:szCs w:val="18"/>
                <w:lang w:eastAsia="en-US"/>
              </w:rPr>
              <w:t>C = -----------------------------------------  x 100pkt x 60%</w:t>
            </w:r>
          </w:p>
          <w:p w14:paraId="7A317F8A"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 xml:space="preserve"> Cena badanej oferty</w:t>
            </w:r>
          </w:p>
        </w:tc>
      </w:tr>
      <w:tr w:rsidR="00CB5094" w14:paraId="19127704" w14:textId="77777777" w:rsidTr="00CB5094">
        <w:tc>
          <w:tcPr>
            <w:tcW w:w="1668" w:type="dxa"/>
          </w:tcPr>
          <w:p w14:paraId="3045BEF6" w14:textId="1EB47F48" w:rsidR="00CB5094" w:rsidRDefault="00711B16" w:rsidP="00711B16">
            <w:pPr>
              <w:keepNext/>
              <w:spacing w:before="120" w:after="120" w:line="276" w:lineRule="auto"/>
              <w:jc w:val="center"/>
              <w:outlineLvl w:val="3"/>
              <w:rPr>
                <w:sz w:val="20"/>
                <w:szCs w:val="20"/>
              </w:rPr>
            </w:pPr>
            <w:r w:rsidRPr="00711B16">
              <w:rPr>
                <w:rFonts w:cs="Arial"/>
                <w:b/>
                <w:sz w:val="18"/>
                <w:szCs w:val="18"/>
                <w:lang w:eastAsia="en-US"/>
              </w:rPr>
              <w:t>Okres gwarancji</w:t>
            </w:r>
          </w:p>
        </w:tc>
        <w:tc>
          <w:tcPr>
            <w:tcW w:w="1842" w:type="dxa"/>
          </w:tcPr>
          <w:p w14:paraId="7EBB9FC2" w14:textId="2153D5A4"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1418" w:type="dxa"/>
          </w:tcPr>
          <w:p w14:paraId="7EECBEBF" w14:textId="7CD1D4C0"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4567" w:type="dxa"/>
          </w:tcPr>
          <w:p w14:paraId="5B5EAD88"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sz w:val="18"/>
                <w:szCs w:val="18"/>
                <w:lang w:eastAsia="en-US"/>
              </w:rPr>
              <w:t>w zakresie kryterium okres gwarancji ofercie zostanie przyznana następująca liczba punktów</w:t>
            </w:r>
            <w:r w:rsidRPr="00612652">
              <w:rPr>
                <w:rFonts w:cs="Arial"/>
                <w:sz w:val="18"/>
                <w:szCs w:val="18"/>
                <w:lang w:eastAsia="en-US"/>
              </w:rPr>
              <w:t>:</w:t>
            </w:r>
          </w:p>
          <w:p w14:paraId="5A3415E4"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 xml:space="preserve"> 36 miesięcy  - 0 pkt.</w:t>
            </w:r>
          </w:p>
          <w:p w14:paraId="1B38C3B7"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48 miesięcy  - 20 pkt.</w:t>
            </w:r>
          </w:p>
          <w:p w14:paraId="6BB90EEE"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60 miesięcy i więcej – 40 pkt</w:t>
            </w:r>
            <w:r w:rsidRPr="00612652">
              <w:rPr>
                <w:rFonts w:cs="Arial"/>
                <w:sz w:val="18"/>
                <w:szCs w:val="18"/>
                <w:lang w:eastAsia="en-US"/>
              </w:rPr>
              <w:t>.</w:t>
            </w:r>
          </w:p>
          <w:p w14:paraId="357EBD4B"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bCs/>
                <w:sz w:val="18"/>
                <w:szCs w:val="18"/>
                <w:lang w:eastAsia="en-US"/>
              </w:rPr>
              <w:t xml:space="preserve">UWAGA - </w:t>
            </w:r>
            <w:r w:rsidRPr="00612652">
              <w:rPr>
                <w:rFonts w:cs="Arial"/>
                <w:b/>
                <w:sz w:val="18"/>
                <w:szCs w:val="18"/>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Default="00CB5094" w:rsidP="00CB5094">
            <w:pPr>
              <w:spacing w:before="120" w:after="120" w:line="276" w:lineRule="auto"/>
              <w:jc w:val="both"/>
              <w:rPr>
                <w:sz w:val="20"/>
                <w:szCs w:val="20"/>
              </w:rPr>
            </w:pPr>
            <w:r w:rsidRPr="00612652">
              <w:rPr>
                <w:rFonts w:cs="Arial"/>
                <w:b/>
                <w:sz w:val="18"/>
                <w:szCs w:val="18"/>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6A051655"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31F60A9F" w14:textId="77777777" w:rsidR="00C22F8C" w:rsidRDefault="00C22F8C" w:rsidP="00CB5094">
      <w:pPr>
        <w:spacing w:before="120" w:after="120" w:line="276" w:lineRule="auto"/>
        <w:jc w:val="both"/>
        <w:rPr>
          <w:rFonts w:cs="Arial"/>
          <w:sz w:val="20"/>
          <w:szCs w:val="20"/>
          <w:lang w:eastAsia="en-US"/>
        </w:rPr>
      </w:pPr>
    </w:p>
    <w:p w14:paraId="3F94CE88" w14:textId="77777777" w:rsidR="00C22F8C" w:rsidRDefault="00C22F8C" w:rsidP="00CB5094">
      <w:pPr>
        <w:spacing w:before="120" w:after="120" w:line="276" w:lineRule="auto"/>
        <w:jc w:val="both"/>
        <w:rPr>
          <w:rFonts w:cs="Arial"/>
          <w:sz w:val="20"/>
          <w:szCs w:val="20"/>
          <w:lang w:eastAsia="en-US"/>
        </w:rPr>
      </w:pPr>
    </w:p>
    <w:p w14:paraId="5C97896C" w14:textId="77777777" w:rsidR="00C22F8C" w:rsidRDefault="00C22F8C" w:rsidP="00CB5094">
      <w:pPr>
        <w:spacing w:before="120" w:after="120" w:line="276" w:lineRule="auto"/>
        <w:jc w:val="both"/>
        <w:rPr>
          <w:rFonts w:cs="Arial"/>
          <w:sz w:val="20"/>
          <w:szCs w:val="20"/>
          <w:lang w:eastAsia="en-US"/>
        </w:rPr>
      </w:pPr>
    </w:p>
    <w:p w14:paraId="10C92148" w14:textId="77777777" w:rsidR="00C22F8C" w:rsidRDefault="00C22F8C" w:rsidP="00CB5094">
      <w:pPr>
        <w:spacing w:before="120" w:after="120" w:line="276" w:lineRule="auto"/>
        <w:jc w:val="both"/>
        <w:rPr>
          <w:rFonts w:cs="Arial"/>
          <w:sz w:val="20"/>
          <w:szCs w:val="20"/>
          <w:lang w:eastAsia="en-US"/>
        </w:rPr>
      </w:pPr>
    </w:p>
    <w:p w14:paraId="3977EB0B" w14:textId="77777777" w:rsidR="00C22F8C" w:rsidRDefault="00C22F8C" w:rsidP="00CB5094">
      <w:pPr>
        <w:spacing w:before="120" w:after="120" w:line="276" w:lineRule="auto"/>
        <w:jc w:val="both"/>
        <w:rPr>
          <w:rFonts w:cs="Arial"/>
          <w:sz w:val="20"/>
          <w:szCs w:val="20"/>
          <w:lang w:eastAsia="en-US"/>
        </w:rPr>
      </w:pPr>
    </w:p>
    <w:p w14:paraId="0F98EFF5" w14:textId="77777777" w:rsidR="00C22F8C" w:rsidRDefault="00C22F8C" w:rsidP="00CB5094">
      <w:pPr>
        <w:spacing w:before="120" w:after="120" w:line="276" w:lineRule="auto"/>
        <w:jc w:val="both"/>
        <w:rPr>
          <w:rFonts w:cs="Arial"/>
          <w:sz w:val="20"/>
          <w:szCs w:val="20"/>
          <w:lang w:eastAsia="en-US"/>
        </w:rPr>
      </w:pPr>
    </w:p>
    <w:p w14:paraId="05432865" w14:textId="77777777" w:rsidR="00942162" w:rsidRPr="00915605" w:rsidRDefault="00942162"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7C715925" w14:textId="77777777" w:rsidR="00942162" w:rsidRPr="00915605" w:rsidRDefault="00942162"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2375D1F6" w14:textId="77777777" w:rsidR="00942162" w:rsidRPr="00A07F0E" w:rsidRDefault="00942162"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A048508" w14:textId="77777777" w:rsidR="00942162"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A708CBA" w14:textId="77777777" w:rsidR="00942162" w:rsidRDefault="00942162"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AD3891E" w14:textId="77777777" w:rsidR="00942162" w:rsidRPr="000067FA"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50404406" w14:textId="77777777" w:rsidR="00942162" w:rsidRPr="000067FA"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4C7E8B65"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942162">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r>
      <w:r>
        <w:rPr>
          <w:rFonts w:cs="Arial"/>
          <w:sz w:val="20"/>
          <w:szCs w:val="20"/>
          <w:lang w:eastAsia="en-US"/>
        </w:rPr>
        <w:lastRenderedPageBreak/>
        <w:t>u z</w:t>
      </w:r>
      <w:r w:rsidRPr="00473F37">
        <w:rPr>
          <w:rFonts w:cs="Arial"/>
          <w:sz w:val="20"/>
          <w:szCs w:val="20"/>
          <w:lang w:eastAsia="en-US"/>
        </w:rPr>
        <w:t xml:space="preserve">amawiającego obowiązku podatkowego, to winien odpowiednio zmodyfikować treść formularza.  </w:t>
      </w:r>
    </w:p>
    <w:p w14:paraId="4D5A6CFA" w14:textId="70764B57" w:rsidR="00942162" w:rsidRPr="000463E1" w:rsidRDefault="00942162"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94216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24BF46BF" w:rsidR="00930270" w:rsidRPr="00930270" w:rsidRDefault="00930270" w:rsidP="00942162">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C22F8C">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942162">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60730E0A" w:rsidR="00000308" w:rsidRPr="00B15CFC" w:rsidRDefault="00000308" w:rsidP="00942162">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Pr="00942162">
        <w:rPr>
          <w:rFonts w:cs="Arial"/>
          <w:i/>
          <w:iCs/>
          <w:sz w:val="20"/>
          <w:szCs w:val="20"/>
          <w:lang w:eastAsia="en-US"/>
        </w:rPr>
        <w:t>,</w:t>
      </w:r>
      <w:r w:rsidRPr="00B15CFC">
        <w:rPr>
          <w:rFonts w:cs="Arial"/>
          <w:sz w:val="20"/>
          <w:szCs w:val="20"/>
          <w:lang w:eastAsia="en-US"/>
        </w:rPr>
        <w:t xml:space="preserve"> </w:t>
      </w:r>
    </w:p>
    <w:p w14:paraId="710B2767" w14:textId="69C7FA6B" w:rsidR="00BF763B" w:rsidRPr="00B15CFC"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p>
    <w:p w14:paraId="53F37C59" w14:textId="38AF7321" w:rsidR="00BF763B" w:rsidRPr="00915605"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75AF08C3" w:rsidR="00BF763B" w:rsidRPr="002D5810"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8F1869" w:rsidRPr="002D5810">
        <w:rPr>
          <w:rFonts w:cs="Arial"/>
          <w:sz w:val="20"/>
          <w:szCs w:val="20"/>
          <w:lang w:eastAsia="en-US"/>
        </w:rPr>
        <w:t>7</w:t>
      </w:r>
      <w:r w:rsidR="00DF7FF3" w:rsidRPr="002D5810">
        <w:rPr>
          <w:rFonts w:cs="Arial"/>
          <w:sz w:val="20"/>
          <w:szCs w:val="20"/>
          <w:lang w:eastAsia="en-US"/>
        </w:rPr>
        <w:t xml:space="preserve"> oraz 23.1.</w:t>
      </w:r>
      <w:r w:rsidR="008D14B8" w:rsidRPr="002D5810">
        <w:rPr>
          <w:rFonts w:cs="Arial"/>
          <w:sz w:val="20"/>
          <w:szCs w:val="20"/>
          <w:lang w:eastAsia="en-US"/>
        </w:rPr>
        <w:t>1</w:t>
      </w:r>
      <w:r w:rsidR="008F1869" w:rsidRPr="002D5810">
        <w:rPr>
          <w:rFonts w:cs="Arial"/>
          <w:sz w:val="20"/>
          <w:szCs w:val="20"/>
          <w:lang w:eastAsia="en-US"/>
        </w:rPr>
        <w:t>2</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942162">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lastRenderedPageBreak/>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942162">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D94243A" w14:textId="77777777" w:rsidR="00922DBB" w:rsidRPr="00AC6555" w:rsidRDefault="00922DBB" w:rsidP="00942162">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473EA607"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2C2B373D"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wprowadzenia zmian w zakresie opracowania dokumentacji techniczno – projektowej, co może powodować brak możliwości dotrzymania pierwotnego terminu zakończenia realizacji zawartej umowy,</w:t>
      </w:r>
    </w:p>
    <w:p w14:paraId="10F2E85E"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przedłużającego się terminu uzyskania uzgodnień i pozwoleń osób trzecich,</w:t>
      </w:r>
    </w:p>
    <w:p w14:paraId="51C92362"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przerw w realizacji robót budowlanych powstałych z przyczyn nie leżących po stronie Wykonawcy,</w:t>
      </w:r>
    </w:p>
    <w:p w14:paraId="2C5F3A2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C468B9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konieczności uzyskania niemożliwych do przewidzenia na etapie planowania inwestycji: danych, zgód lub pozwoleń osób trzecich albo właściwych organów,</w:t>
      </w:r>
    </w:p>
    <w:p w14:paraId="1965D3C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27A74C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konieczności uzyskania wyroku sądowego lub innego orzeczenia sądu, lub organu, którego konieczności nie przewidywano przy zawieraniu umowy,</w:t>
      </w:r>
    </w:p>
    <w:p w14:paraId="5EDEB6F4"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odmiennych od przyjętych w dokumentacji projektowej warunków terenowych (w szczególności istnienie niezinwentaryzowanych lub błędnie zinwentaryzowanych obiektów),</w:t>
      </w:r>
    </w:p>
    <w:p w14:paraId="211DA58E" w14:textId="77777777" w:rsidR="00581E10" w:rsidRPr="00E16756"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bookmarkStart w:id="5" w:name="_Hlk97040800"/>
      <w:r w:rsidRPr="00E16756">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bookmarkEnd w:id="5"/>
    </w:p>
    <w:p w14:paraId="0964F62E"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01450208"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wstrzymania realizacji prac objętych umową, co uniemożliwia terminowe zakończenie realizacji przedmiotu umowy,</w:t>
      </w:r>
    </w:p>
    <w:p w14:paraId="4F6B8CAD"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w:t>
      </w:r>
      <w:r w:rsidRPr="00E93092">
        <w:rPr>
          <w:rFonts w:cs="Arial"/>
          <w:sz w:val="20"/>
          <w:szCs w:val="20"/>
          <w:lang w:eastAsia="en-US"/>
        </w:rPr>
        <w:lastRenderedPageBreak/>
        <w:t>formie pisemnej w ciągu 3 dni o wystąpieniu i zakończeniu zdarzenia określonego jako „siła wyższa” wraz odpowiednimi dowodami i wnioskami,</w:t>
      </w:r>
    </w:p>
    <w:p w14:paraId="6C00A34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okoliczności niezależnych od Wykonawcy i Zamawiającego skutkujących niemożliwością dotrzymania terminu realizacji przedmiotu umowy,</w:t>
      </w:r>
    </w:p>
    <w:p w14:paraId="6F85160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1E22CE2"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CE0A21B" w14:textId="77777777" w:rsidR="00922DBB" w:rsidRPr="00562D2D"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0B7D500" w14:textId="77777777" w:rsidR="00922DBB" w:rsidRPr="00562D2D"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3773501F"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DD5770C" w14:textId="77777777" w:rsidR="00922DBB" w:rsidRPr="00AC6555"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144F3A1" w14:textId="77777777" w:rsidR="00922DBB" w:rsidRPr="00AC6555"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2D435363"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0AE2C606"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38D38B7A"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269AA31C"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15703035"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0BF61C3A"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7BA58EAB"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195F3FC4"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61E0F9A"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A497922"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lastRenderedPageBreak/>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FB906A8"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28415E3C"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6EC8D95E"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942162">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942162">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942162">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942162">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942162">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79B86E64" w:rsidR="00D37A39" w:rsidRPr="001D1E2B" w:rsidRDefault="00D37A39"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9E175C">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942162">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4367271E"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9E175C">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3212070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9E175C">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49693771"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w:t>
      </w:r>
      <w:r w:rsidR="00F93B3E" w:rsidRPr="00736535">
        <w:rPr>
          <w:rFonts w:cs="Arial"/>
          <w:sz w:val="20"/>
          <w:szCs w:val="20"/>
          <w:lang w:eastAsia="en-US"/>
        </w:rPr>
        <w:t>ur</w:t>
      </w:r>
      <w:r w:rsidR="00736535">
        <w:rPr>
          <w:rFonts w:cs="Arial"/>
          <w:sz w:val="20"/>
          <w:szCs w:val="20"/>
          <w:lang w:eastAsia="en-US"/>
        </w:rPr>
        <w:t>y</w:t>
      </w:r>
      <w:r w:rsidR="00D901D4" w:rsidRPr="00736535">
        <w:rPr>
          <w:rFonts w:cs="Arial"/>
          <w:sz w:val="20"/>
          <w:szCs w:val="20"/>
          <w:lang w:eastAsia="en-US"/>
        </w:rPr>
        <w:t xml:space="preserve"> </w:t>
      </w:r>
      <w:r w:rsidRPr="00915605">
        <w:rPr>
          <w:rFonts w:cs="Arial"/>
          <w:sz w:val="20"/>
          <w:szCs w:val="20"/>
          <w:lang w:eastAsia="en-US"/>
        </w:rPr>
        <w:t>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942162">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942162">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942162">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942162">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942162">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942162">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942162">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942162">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942162">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942162">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78A47619" w14:textId="77777777" w:rsidR="009E175C" w:rsidRPr="00E33C48" w:rsidRDefault="009E175C" w:rsidP="009E175C">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53A620" w14:textId="77777777" w:rsidR="009E175C" w:rsidRPr="00A2569F" w:rsidRDefault="009E175C" w:rsidP="009E175C">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1C18FC02" w14:textId="77777777" w:rsidR="009E175C" w:rsidRPr="00A2569F" w:rsidRDefault="009E175C" w:rsidP="009E175C">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05889F2A" w14:textId="77777777" w:rsidR="009E175C" w:rsidRPr="00A2569F" w:rsidRDefault="009E175C" w:rsidP="009E175C">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654EB7D7" w14:textId="77777777" w:rsidR="009E175C" w:rsidRPr="00A37EC7" w:rsidRDefault="009E175C" w:rsidP="009E175C">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Pzp”, </w:t>
      </w:r>
    </w:p>
    <w:p w14:paraId="17EFAC0B" w14:textId="77777777" w:rsidR="009E175C" w:rsidRDefault="009E175C" w:rsidP="009E175C">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60A7DBEA" w14:textId="77777777" w:rsidR="009E175C" w:rsidRDefault="009E175C" w:rsidP="009E175C">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2AC8982" w14:textId="77777777" w:rsidR="009E175C" w:rsidRDefault="009E175C" w:rsidP="009E175C">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0241079" w14:textId="77777777" w:rsidR="009E175C" w:rsidRPr="000F21EB" w:rsidRDefault="009E175C" w:rsidP="009E175C">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298E068" w14:textId="77777777" w:rsidR="009E175C" w:rsidRPr="00DC7D95" w:rsidRDefault="009E175C" w:rsidP="009E175C">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0DE59F38" w14:textId="77777777" w:rsidR="009E175C" w:rsidRPr="005D6FC3" w:rsidRDefault="009E175C" w:rsidP="009E175C">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D19EBFB" w14:textId="77777777" w:rsidR="009E175C" w:rsidRPr="00A2569F" w:rsidRDefault="009E175C" w:rsidP="009E175C">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267EBE59" w14:textId="77777777" w:rsidR="009E175C" w:rsidRPr="004A083A" w:rsidRDefault="009E175C" w:rsidP="009E175C">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67591EB7" w14:textId="77777777" w:rsidR="009E175C" w:rsidRPr="004A083A" w:rsidRDefault="009E175C" w:rsidP="009E175C">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60FC5022" w14:textId="77777777" w:rsidR="009E175C" w:rsidRPr="004A083A" w:rsidRDefault="009E175C" w:rsidP="009E175C">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4A9B19A5" w14:textId="77777777" w:rsidR="009E175C" w:rsidRPr="004A083A" w:rsidRDefault="009E175C" w:rsidP="009E175C">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B339AFF" w14:textId="77777777" w:rsidR="009E175C" w:rsidRPr="004A083A" w:rsidRDefault="009E175C" w:rsidP="009E175C">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45CDEA20" w14:textId="77777777" w:rsidR="009E175C" w:rsidRPr="004A083A" w:rsidRDefault="009E175C" w:rsidP="009E175C">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079B9E07" w14:textId="77777777" w:rsidR="009E175C" w:rsidRPr="00360418" w:rsidRDefault="009E175C" w:rsidP="009E175C">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780A2232" w14:textId="77777777" w:rsidR="009E175C" w:rsidRPr="00360418" w:rsidRDefault="009E175C" w:rsidP="009E175C">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37CEC616" w14:textId="77777777" w:rsidR="009E175C" w:rsidRPr="00A2569F" w:rsidRDefault="009E175C" w:rsidP="009E175C">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1291FF74" w14:textId="77777777" w:rsidR="009E175C" w:rsidRPr="00A2569F" w:rsidRDefault="009E175C" w:rsidP="009E175C">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601C73B" w14:textId="77777777" w:rsidR="009E175C" w:rsidRPr="00EA2628" w:rsidRDefault="009E175C" w:rsidP="009E175C">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lastRenderedPageBreak/>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0D44DDDB" w14:textId="77777777" w:rsidR="009E175C" w:rsidRPr="00A2569F" w:rsidRDefault="009E175C" w:rsidP="009E175C">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5FFCF9C" w14:textId="77777777" w:rsidR="009E175C" w:rsidRPr="00A2569F" w:rsidRDefault="009E175C" w:rsidP="009E175C">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61CC5E39" w14:textId="77777777" w:rsidR="009E175C" w:rsidRPr="004A083A" w:rsidRDefault="009E175C" w:rsidP="009E175C">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7847A6A4" w14:textId="77777777" w:rsidR="009E175C" w:rsidRPr="004A083A" w:rsidRDefault="009E175C" w:rsidP="009E175C">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6FD0DE08" w14:textId="77777777" w:rsidR="009E175C" w:rsidRPr="004A083A" w:rsidRDefault="009E175C" w:rsidP="009E175C">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3AE2CDDF" w14:textId="77777777" w:rsidR="009E175C" w:rsidRPr="004A083A" w:rsidRDefault="009E175C" w:rsidP="009E175C">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A00AC52" w14:textId="77777777" w:rsidR="009E175C" w:rsidRPr="00A2569F" w:rsidRDefault="009E175C" w:rsidP="009E175C">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76DF8420" w14:textId="77777777" w:rsidR="009E175C" w:rsidRPr="004A083A" w:rsidRDefault="009E175C" w:rsidP="009E175C">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7DCC49F" w14:textId="77777777" w:rsidR="009E175C" w:rsidRPr="004A083A" w:rsidRDefault="009E175C" w:rsidP="009E175C">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6B6FF17C" w14:textId="77777777" w:rsidR="009E175C" w:rsidRPr="004A083A" w:rsidRDefault="009E175C" w:rsidP="009E175C">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0900746" w14:textId="77777777" w:rsidR="009E175C" w:rsidRPr="00A2569F" w:rsidRDefault="009E175C" w:rsidP="009E175C">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073F18D" w14:textId="77777777" w:rsidR="009E175C" w:rsidRPr="00A2569F" w:rsidRDefault="009E175C" w:rsidP="009E175C">
      <w:pPr>
        <w:spacing w:line="276" w:lineRule="auto"/>
        <w:jc w:val="both"/>
        <w:rPr>
          <w:rFonts w:cs="Arial"/>
          <w:u w:val="single"/>
          <w:lang w:eastAsia="en-US"/>
        </w:rPr>
      </w:pPr>
    </w:p>
    <w:p w14:paraId="2B06A85B" w14:textId="77777777" w:rsidR="009E175C" w:rsidRPr="00A2569F" w:rsidRDefault="009E175C" w:rsidP="009E175C">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397587E5" w14:textId="77777777" w:rsidR="009E175C" w:rsidRPr="00A2569F" w:rsidRDefault="009E175C" w:rsidP="009E175C">
      <w:pPr>
        <w:jc w:val="both"/>
        <w:rPr>
          <w:rFonts w:cs="Arial"/>
          <w:sz w:val="20"/>
          <w:szCs w:val="20"/>
          <w:u w:val="single"/>
        </w:rPr>
      </w:pPr>
    </w:p>
    <w:p w14:paraId="6CEB380D" w14:textId="77777777" w:rsidR="009E175C" w:rsidRPr="00A2569F" w:rsidRDefault="009E175C" w:rsidP="009E175C">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16D23F17" w14:textId="77777777" w:rsidR="009E175C" w:rsidRPr="00A2569F" w:rsidRDefault="009E175C" w:rsidP="009E175C">
      <w:pPr>
        <w:jc w:val="both"/>
        <w:rPr>
          <w:rFonts w:cs="Arial"/>
          <w:sz w:val="20"/>
          <w:szCs w:val="20"/>
          <w:u w:val="single"/>
        </w:rPr>
      </w:pPr>
    </w:p>
    <w:p w14:paraId="1ACB0C48" w14:textId="77777777" w:rsidR="009E175C" w:rsidRPr="00A2569F" w:rsidRDefault="009E175C" w:rsidP="009E175C">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7AA2DF19" w14:textId="77777777" w:rsidR="009E175C" w:rsidRPr="00A2569F" w:rsidRDefault="009E175C" w:rsidP="009E175C">
      <w:pPr>
        <w:spacing w:before="120"/>
        <w:ind w:left="426"/>
        <w:contextualSpacing/>
        <w:jc w:val="both"/>
        <w:rPr>
          <w:rFonts w:cs="Arial"/>
          <w:i/>
          <w:iCs/>
          <w:sz w:val="18"/>
          <w:szCs w:val="18"/>
        </w:rPr>
      </w:pPr>
    </w:p>
    <w:p w14:paraId="5555C415" w14:textId="77777777" w:rsidR="009E175C" w:rsidRPr="00A2569F" w:rsidRDefault="009E175C" w:rsidP="009E175C">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1B71B04B" w14:textId="2D127873"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3</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7384DB40" w14:textId="7A9E9430"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4</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352E75D8" w:rsidR="00736873" w:rsidRPr="000463E1"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504329BA" w14:textId="71BC571B" w:rsidR="000463E1" w:rsidRPr="000463E1" w:rsidRDefault="000463E1" w:rsidP="000463E1">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sidR="00E22775">
        <w:rPr>
          <w:rFonts w:cs="Arial"/>
          <w:bCs/>
          <w:sz w:val="20"/>
          <w:szCs w:val="20"/>
          <w:lang w:eastAsia="en-US"/>
        </w:rPr>
        <w:t>.</w:t>
      </w:r>
    </w:p>
    <w:p w14:paraId="7804612E" w14:textId="112C31F1"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3C4334B0" w14:textId="4A654AA1"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0463E1">
        <w:rPr>
          <w:rFonts w:cs="Arial"/>
          <w:bCs/>
          <w:sz w:val="20"/>
          <w:szCs w:val="20"/>
          <w:lang w:eastAsia="en-US"/>
        </w:rPr>
        <w:t>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7949184E" w14:textId="5CFE067A"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9</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1FC45EBC"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lastRenderedPageBreak/>
        <w:t xml:space="preserve">Załącznik nr </w:t>
      </w:r>
      <w:r>
        <w:rPr>
          <w:rFonts w:ascii="Arial" w:eastAsia="Times New Roman" w:hAnsi="Arial" w:cs="Arial"/>
          <w:bCs/>
          <w:sz w:val="20"/>
          <w:szCs w:val="20"/>
        </w:rPr>
        <w:t>1</w:t>
      </w:r>
      <w:r w:rsidR="000463E1">
        <w:rPr>
          <w:rFonts w:ascii="Arial" w:eastAsia="Times New Roman" w:hAnsi="Arial" w:cs="Arial"/>
          <w:bCs/>
          <w:sz w:val="20"/>
          <w:szCs w:val="20"/>
        </w:rPr>
        <w:t>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5A3EDE3F" w:rsidR="00736873" w:rsidRPr="00327A7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 xml:space="preserve">Projekt </w:t>
      </w:r>
      <w:r w:rsidR="00EB337E">
        <w:rPr>
          <w:rFonts w:cs="Arial"/>
          <w:bCs/>
          <w:sz w:val="20"/>
          <w:szCs w:val="20"/>
          <w:lang w:eastAsia="en-US"/>
        </w:rPr>
        <w:t>techniczny, uzgodnienia, projekt zagospodarowania terenu</w:t>
      </w:r>
      <w:r w:rsidR="00FC5AEA">
        <w:rPr>
          <w:rFonts w:cs="Arial"/>
          <w:bCs/>
          <w:sz w:val="20"/>
          <w:szCs w:val="20"/>
          <w:lang w:eastAsia="en-US"/>
        </w:rPr>
        <w:t>.</w:t>
      </w:r>
    </w:p>
    <w:p w14:paraId="7A4FE644" w14:textId="77777777" w:rsidR="00736873" w:rsidRPr="00327A7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STWiORB.</w:t>
      </w:r>
    </w:p>
    <w:p w14:paraId="7AB9E766" w14:textId="2B902A6D"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 robót.</w:t>
      </w:r>
    </w:p>
    <w:sectPr w:rsidR="00736873" w:rsidRPr="009D2EB2"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1880" w14:textId="77777777" w:rsidR="00757A6C" w:rsidRDefault="00757A6C">
      <w:r>
        <w:separator/>
      </w:r>
    </w:p>
  </w:endnote>
  <w:endnote w:type="continuationSeparator" w:id="0">
    <w:p w14:paraId="55471AA5" w14:textId="77777777" w:rsidR="00757A6C" w:rsidRDefault="007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Times New Roman"/>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E872" w14:textId="77777777" w:rsidR="00757A6C" w:rsidRDefault="00757A6C">
      <w:r>
        <w:separator/>
      </w:r>
    </w:p>
  </w:footnote>
  <w:footnote w:type="continuationSeparator" w:id="0">
    <w:p w14:paraId="545660E6" w14:textId="77777777" w:rsidR="00757A6C" w:rsidRDefault="0075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6" w:name="_Hlk3180678"/>
          <w:bookmarkStart w:id="7" w:name="_Hlk81211798"/>
        </w:p>
      </w:tc>
      <w:bookmarkEnd w:id="6"/>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7"/>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AC1C0F"/>
    <w:multiLevelType w:val="hybridMultilevel"/>
    <w:tmpl w:val="67FE15B2"/>
    <w:lvl w:ilvl="0" w:tplc="BC2EAE70">
      <w:start w:val="1"/>
      <w:numFmt w:val="decimal"/>
      <w:lvlText w:val="%1."/>
      <w:lvlJc w:val="left"/>
      <w:pPr>
        <w:tabs>
          <w:tab w:val="num" w:pos="700"/>
        </w:tabs>
        <w:ind w:left="700" w:hanging="340"/>
      </w:pPr>
    </w:lvl>
    <w:lvl w:ilvl="1" w:tplc="6B867CBE">
      <w:start w:val="1"/>
      <w:numFmt w:val="lowerLetter"/>
      <w:lvlText w:val="%2."/>
      <w:lvlJc w:val="left"/>
      <w:pPr>
        <w:tabs>
          <w:tab w:val="num" w:pos="1440"/>
        </w:tabs>
        <w:ind w:left="1440" w:hanging="360"/>
      </w:pPr>
    </w:lvl>
    <w:lvl w:ilvl="2" w:tplc="15246BA2">
      <w:start w:val="1"/>
      <w:numFmt w:val="lowerRoman"/>
      <w:lvlText w:val="%3."/>
      <w:lvlJc w:val="right"/>
      <w:pPr>
        <w:tabs>
          <w:tab w:val="num" w:pos="2160"/>
        </w:tabs>
        <w:ind w:left="2160" w:hanging="180"/>
      </w:pPr>
    </w:lvl>
    <w:lvl w:ilvl="3" w:tplc="B26EB036">
      <w:start w:val="1"/>
      <w:numFmt w:val="decimal"/>
      <w:lvlText w:val="%4."/>
      <w:lvlJc w:val="left"/>
      <w:pPr>
        <w:tabs>
          <w:tab w:val="num" w:pos="2880"/>
        </w:tabs>
        <w:ind w:left="2880" w:hanging="360"/>
      </w:pPr>
    </w:lvl>
    <w:lvl w:ilvl="4" w:tplc="84E2639A">
      <w:start w:val="1"/>
      <w:numFmt w:val="lowerLetter"/>
      <w:lvlText w:val="%5."/>
      <w:lvlJc w:val="left"/>
      <w:pPr>
        <w:tabs>
          <w:tab w:val="num" w:pos="3600"/>
        </w:tabs>
        <w:ind w:left="3600" w:hanging="360"/>
      </w:pPr>
    </w:lvl>
    <w:lvl w:ilvl="5" w:tplc="64C09DC0">
      <w:start w:val="1"/>
      <w:numFmt w:val="lowerRoman"/>
      <w:lvlText w:val="%6."/>
      <w:lvlJc w:val="right"/>
      <w:pPr>
        <w:tabs>
          <w:tab w:val="num" w:pos="4320"/>
        </w:tabs>
        <w:ind w:left="4320" w:hanging="180"/>
      </w:pPr>
    </w:lvl>
    <w:lvl w:ilvl="6" w:tplc="4322DA30">
      <w:start w:val="1"/>
      <w:numFmt w:val="decimal"/>
      <w:lvlText w:val="%7."/>
      <w:lvlJc w:val="left"/>
      <w:pPr>
        <w:tabs>
          <w:tab w:val="num" w:pos="5040"/>
        </w:tabs>
        <w:ind w:left="5040" w:hanging="360"/>
      </w:pPr>
    </w:lvl>
    <w:lvl w:ilvl="7" w:tplc="FCA4A578">
      <w:start w:val="1"/>
      <w:numFmt w:val="lowerLetter"/>
      <w:lvlText w:val="%8."/>
      <w:lvlJc w:val="left"/>
      <w:pPr>
        <w:tabs>
          <w:tab w:val="num" w:pos="5760"/>
        </w:tabs>
        <w:ind w:left="5760" w:hanging="360"/>
      </w:pPr>
    </w:lvl>
    <w:lvl w:ilvl="8" w:tplc="616ABE18">
      <w:start w:val="1"/>
      <w:numFmt w:val="lowerRoman"/>
      <w:lvlText w:val="%9."/>
      <w:lvlJc w:val="right"/>
      <w:pPr>
        <w:tabs>
          <w:tab w:val="num" w:pos="6480"/>
        </w:tabs>
        <w:ind w:left="6480" w:hanging="180"/>
      </w:p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1B6F81"/>
    <w:multiLevelType w:val="multilevel"/>
    <w:tmpl w:val="E2FEE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0"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8E633CA"/>
    <w:multiLevelType w:val="multilevel"/>
    <w:tmpl w:val="E9424B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19C3FAC"/>
    <w:multiLevelType w:val="multilevel"/>
    <w:tmpl w:val="75D62D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9"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0"/>
  </w:num>
  <w:num w:numId="3" w16cid:durableId="509219831">
    <w:abstractNumId w:val="8"/>
  </w:num>
  <w:num w:numId="4" w16cid:durableId="1905722151">
    <w:abstractNumId w:val="4"/>
  </w:num>
  <w:num w:numId="5" w16cid:durableId="1606036427">
    <w:abstractNumId w:val="10"/>
  </w:num>
  <w:num w:numId="6" w16cid:durableId="1456948755">
    <w:abstractNumId w:val="1"/>
  </w:num>
  <w:num w:numId="7" w16cid:durableId="1683816489">
    <w:abstractNumId w:val="19"/>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1"/>
  </w:num>
  <w:num w:numId="13" w16cid:durableId="511725893">
    <w:abstractNumId w:val="6"/>
  </w:num>
  <w:num w:numId="14" w16cid:durableId="1222407930">
    <w:abstractNumId w:val="5"/>
  </w:num>
  <w:num w:numId="15" w16cid:durableId="153843390">
    <w:abstractNumId w:val="44"/>
  </w:num>
  <w:num w:numId="16" w16cid:durableId="78914600">
    <w:abstractNumId w:val="16"/>
  </w:num>
  <w:num w:numId="17" w16cid:durableId="767386646">
    <w:abstractNumId w:val="22"/>
  </w:num>
  <w:num w:numId="18" w16cid:durableId="231162481">
    <w:abstractNumId w:val="27"/>
  </w:num>
  <w:num w:numId="19" w16cid:durableId="1946843217">
    <w:abstractNumId w:val="30"/>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5"/>
  </w:num>
  <w:num w:numId="25" w16cid:durableId="531459811">
    <w:abstractNumId w:val="42"/>
  </w:num>
  <w:num w:numId="26" w16cid:durableId="1215316434">
    <w:abstractNumId w:val="7"/>
  </w:num>
  <w:num w:numId="27" w16cid:durableId="1404108842">
    <w:abstractNumId w:val="40"/>
  </w:num>
  <w:num w:numId="28" w16cid:durableId="455835410">
    <w:abstractNumId w:val="28"/>
  </w:num>
  <w:num w:numId="29" w16cid:durableId="412121034">
    <w:abstractNumId w:val="2"/>
  </w:num>
  <w:num w:numId="30" w16cid:durableId="1341811807">
    <w:abstractNumId w:val="11"/>
  </w:num>
  <w:num w:numId="31" w16cid:durableId="1755589150">
    <w:abstractNumId w:val="46"/>
  </w:num>
  <w:num w:numId="32" w16cid:durableId="907035896">
    <w:abstractNumId w:val="49"/>
  </w:num>
  <w:num w:numId="33" w16cid:durableId="1849053713">
    <w:abstractNumId w:val="9"/>
  </w:num>
  <w:num w:numId="34" w16cid:durableId="683284999">
    <w:abstractNumId w:val="21"/>
  </w:num>
  <w:num w:numId="35" w16cid:durableId="184828672">
    <w:abstractNumId w:val="38"/>
  </w:num>
  <w:num w:numId="36" w16cid:durableId="827481457">
    <w:abstractNumId w:val="14"/>
  </w:num>
  <w:num w:numId="37" w16cid:durableId="383259738">
    <w:abstractNumId w:val="18"/>
  </w:num>
  <w:num w:numId="38" w16cid:durableId="66732370">
    <w:abstractNumId w:val="48"/>
  </w:num>
  <w:num w:numId="39" w16cid:durableId="238248302">
    <w:abstractNumId w:val="47"/>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6"/>
  </w:num>
  <w:num w:numId="45" w16cid:durableId="436828993">
    <w:abstractNumId w:val="24"/>
  </w:num>
  <w:num w:numId="46" w16cid:durableId="1878394362">
    <w:abstractNumId w:val="29"/>
  </w:num>
  <w:num w:numId="47" w16cid:durableId="2039770309">
    <w:abstractNumId w:val="45"/>
  </w:num>
  <w:num w:numId="48" w16cid:durableId="121072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6726930">
    <w:abstractNumId w:val="23"/>
  </w:num>
  <w:num w:numId="50" w16cid:durableId="1495223275">
    <w:abstractNumId w:val="31"/>
  </w:num>
  <w:num w:numId="51" w16cid:durableId="349453872">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441C2"/>
    <w:rsid w:val="000463E1"/>
    <w:rsid w:val="00047766"/>
    <w:rsid w:val="000477E7"/>
    <w:rsid w:val="000512C3"/>
    <w:rsid w:val="00053230"/>
    <w:rsid w:val="000558F3"/>
    <w:rsid w:val="00061F20"/>
    <w:rsid w:val="000636F9"/>
    <w:rsid w:val="00064093"/>
    <w:rsid w:val="00075FBD"/>
    <w:rsid w:val="00080D83"/>
    <w:rsid w:val="00081585"/>
    <w:rsid w:val="0008187F"/>
    <w:rsid w:val="000951EF"/>
    <w:rsid w:val="000A031A"/>
    <w:rsid w:val="000A10E7"/>
    <w:rsid w:val="000A47AA"/>
    <w:rsid w:val="000B2F16"/>
    <w:rsid w:val="000B73D0"/>
    <w:rsid w:val="000B7EDA"/>
    <w:rsid w:val="000D1998"/>
    <w:rsid w:val="000D283E"/>
    <w:rsid w:val="000D31A0"/>
    <w:rsid w:val="000D4B7D"/>
    <w:rsid w:val="000E2D41"/>
    <w:rsid w:val="000E345E"/>
    <w:rsid w:val="000E394C"/>
    <w:rsid w:val="000F5424"/>
    <w:rsid w:val="000F5822"/>
    <w:rsid w:val="000F5914"/>
    <w:rsid w:val="000F636D"/>
    <w:rsid w:val="00100DBB"/>
    <w:rsid w:val="00102599"/>
    <w:rsid w:val="00112A5A"/>
    <w:rsid w:val="001140A0"/>
    <w:rsid w:val="0011501B"/>
    <w:rsid w:val="00123041"/>
    <w:rsid w:val="00124D4A"/>
    <w:rsid w:val="00126B13"/>
    <w:rsid w:val="00130B23"/>
    <w:rsid w:val="00133D8B"/>
    <w:rsid w:val="00134225"/>
    <w:rsid w:val="0014207F"/>
    <w:rsid w:val="0014480A"/>
    <w:rsid w:val="001526DC"/>
    <w:rsid w:val="00153CD8"/>
    <w:rsid w:val="001646A1"/>
    <w:rsid w:val="0016604C"/>
    <w:rsid w:val="00170657"/>
    <w:rsid w:val="00185C72"/>
    <w:rsid w:val="001971B4"/>
    <w:rsid w:val="001A212D"/>
    <w:rsid w:val="001A2B31"/>
    <w:rsid w:val="001B210F"/>
    <w:rsid w:val="001B2893"/>
    <w:rsid w:val="001C0A54"/>
    <w:rsid w:val="001C5CC3"/>
    <w:rsid w:val="001D1E2B"/>
    <w:rsid w:val="001E3207"/>
    <w:rsid w:val="001E546B"/>
    <w:rsid w:val="001E7365"/>
    <w:rsid w:val="00200B8C"/>
    <w:rsid w:val="00203D01"/>
    <w:rsid w:val="00206F73"/>
    <w:rsid w:val="00220CFE"/>
    <w:rsid w:val="00222CBD"/>
    <w:rsid w:val="00224C75"/>
    <w:rsid w:val="002315C7"/>
    <w:rsid w:val="002320ED"/>
    <w:rsid w:val="00234257"/>
    <w:rsid w:val="00241C1F"/>
    <w:rsid w:val="002425AE"/>
    <w:rsid w:val="00244EC8"/>
    <w:rsid w:val="00246A42"/>
    <w:rsid w:val="00261CDB"/>
    <w:rsid w:val="00267AF9"/>
    <w:rsid w:val="00276312"/>
    <w:rsid w:val="0029707B"/>
    <w:rsid w:val="002A1B7A"/>
    <w:rsid w:val="002A6F3E"/>
    <w:rsid w:val="002B58A6"/>
    <w:rsid w:val="002C6347"/>
    <w:rsid w:val="002D121B"/>
    <w:rsid w:val="002D37F9"/>
    <w:rsid w:val="002D5810"/>
    <w:rsid w:val="002E36B4"/>
    <w:rsid w:val="002E7DA5"/>
    <w:rsid w:val="002F3C24"/>
    <w:rsid w:val="002F4884"/>
    <w:rsid w:val="00306B0A"/>
    <w:rsid w:val="003076AB"/>
    <w:rsid w:val="0031002D"/>
    <w:rsid w:val="003138F7"/>
    <w:rsid w:val="00317A1D"/>
    <w:rsid w:val="00320AAC"/>
    <w:rsid w:val="00321EF5"/>
    <w:rsid w:val="00323AAC"/>
    <w:rsid w:val="00325198"/>
    <w:rsid w:val="003253D9"/>
    <w:rsid w:val="00326AC6"/>
    <w:rsid w:val="00326C8C"/>
    <w:rsid w:val="00332C36"/>
    <w:rsid w:val="00333E51"/>
    <w:rsid w:val="00334595"/>
    <w:rsid w:val="003349B1"/>
    <w:rsid w:val="00335174"/>
    <w:rsid w:val="00343798"/>
    <w:rsid w:val="00343E15"/>
    <w:rsid w:val="00346874"/>
    <w:rsid w:val="0035482A"/>
    <w:rsid w:val="003619F2"/>
    <w:rsid w:val="003620A0"/>
    <w:rsid w:val="003626AA"/>
    <w:rsid w:val="0036542C"/>
    <w:rsid w:val="00365820"/>
    <w:rsid w:val="00365D38"/>
    <w:rsid w:val="00367A0A"/>
    <w:rsid w:val="0037070F"/>
    <w:rsid w:val="003728C5"/>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3B"/>
    <w:rsid w:val="004513A0"/>
    <w:rsid w:val="004519D8"/>
    <w:rsid w:val="00453C16"/>
    <w:rsid w:val="00457528"/>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C49A3"/>
    <w:rsid w:val="004E209E"/>
    <w:rsid w:val="004E7337"/>
    <w:rsid w:val="00503165"/>
    <w:rsid w:val="00504E73"/>
    <w:rsid w:val="005052DC"/>
    <w:rsid w:val="00505AB0"/>
    <w:rsid w:val="00511C65"/>
    <w:rsid w:val="005133A3"/>
    <w:rsid w:val="00520F93"/>
    <w:rsid w:val="0052111D"/>
    <w:rsid w:val="005216A3"/>
    <w:rsid w:val="00530359"/>
    <w:rsid w:val="00537F26"/>
    <w:rsid w:val="00537F6E"/>
    <w:rsid w:val="00543FF0"/>
    <w:rsid w:val="005467E3"/>
    <w:rsid w:val="005623D5"/>
    <w:rsid w:val="00562A50"/>
    <w:rsid w:val="00562D2D"/>
    <w:rsid w:val="00566E88"/>
    <w:rsid w:val="0057024C"/>
    <w:rsid w:val="005760A9"/>
    <w:rsid w:val="00577680"/>
    <w:rsid w:val="00581E10"/>
    <w:rsid w:val="005836D9"/>
    <w:rsid w:val="00585987"/>
    <w:rsid w:val="005922AC"/>
    <w:rsid w:val="00594434"/>
    <w:rsid w:val="00594464"/>
    <w:rsid w:val="005944EF"/>
    <w:rsid w:val="005A0BC7"/>
    <w:rsid w:val="005A625B"/>
    <w:rsid w:val="005A6639"/>
    <w:rsid w:val="005B0458"/>
    <w:rsid w:val="005B36A7"/>
    <w:rsid w:val="005C43DE"/>
    <w:rsid w:val="005D604A"/>
    <w:rsid w:val="005E2DA2"/>
    <w:rsid w:val="005F540D"/>
    <w:rsid w:val="005F57A4"/>
    <w:rsid w:val="006031BB"/>
    <w:rsid w:val="00607126"/>
    <w:rsid w:val="00612652"/>
    <w:rsid w:val="00612678"/>
    <w:rsid w:val="0062165A"/>
    <w:rsid w:val="00622781"/>
    <w:rsid w:val="0063008A"/>
    <w:rsid w:val="0063190E"/>
    <w:rsid w:val="006342DB"/>
    <w:rsid w:val="00634A63"/>
    <w:rsid w:val="006352D2"/>
    <w:rsid w:val="00635825"/>
    <w:rsid w:val="006378F1"/>
    <w:rsid w:val="00640BFF"/>
    <w:rsid w:val="006417B3"/>
    <w:rsid w:val="00644010"/>
    <w:rsid w:val="00644090"/>
    <w:rsid w:val="00647A17"/>
    <w:rsid w:val="006505B7"/>
    <w:rsid w:val="00652E81"/>
    <w:rsid w:val="00653E28"/>
    <w:rsid w:val="00662028"/>
    <w:rsid w:val="00671D36"/>
    <w:rsid w:val="00692FAF"/>
    <w:rsid w:val="006943EC"/>
    <w:rsid w:val="00694C3B"/>
    <w:rsid w:val="0069621B"/>
    <w:rsid w:val="006A148E"/>
    <w:rsid w:val="006A37C1"/>
    <w:rsid w:val="006A684E"/>
    <w:rsid w:val="006B1A5F"/>
    <w:rsid w:val="006B3D83"/>
    <w:rsid w:val="006B66C0"/>
    <w:rsid w:val="006C014B"/>
    <w:rsid w:val="006C71D5"/>
    <w:rsid w:val="006D012E"/>
    <w:rsid w:val="006D03C4"/>
    <w:rsid w:val="006D3CC3"/>
    <w:rsid w:val="006D4741"/>
    <w:rsid w:val="006D5AA2"/>
    <w:rsid w:val="006D6150"/>
    <w:rsid w:val="006E5C43"/>
    <w:rsid w:val="006F2005"/>
    <w:rsid w:val="006F209E"/>
    <w:rsid w:val="0070192A"/>
    <w:rsid w:val="0070371A"/>
    <w:rsid w:val="0070561E"/>
    <w:rsid w:val="00711B16"/>
    <w:rsid w:val="00717104"/>
    <w:rsid w:val="00721A3C"/>
    <w:rsid w:val="007268A4"/>
    <w:rsid w:val="00727F94"/>
    <w:rsid w:val="00731E3E"/>
    <w:rsid w:val="007337EB"/>
    <w:rsid w:val="00736535"/>
    <w:rsid w:val="00736873"/>
    <w:rsid w:val="00744647"/>
    <w:rsid w:val="00745D18"/>
    <w:rsid w:val="00753E20"/>
    <w:rsid w:val="00757A6C"/>
    <w:rsid w:val="00765E3E"/>
    <w:rsid w:val="00766C14"/>
    <w:rsid w:val="00766FB0"/>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0372"/>
    <w:rsid w:val="00827311"/>
    <w:rsid w:val="00834BB4"/>
    <w:rsid w:val="00835187"/>
    <w:rsid w:val="00844979"/>
    <w:rsid w:val="008551CC"/>
    <w:rsid w:val="00855712"/>
    <w:rsid w:val="00856E3A"/>
    <w:rsid w:val="00865A7B"/>
    <w:rsid w:val="0086744C"/>
    <w:rsid w:val="00870AB1"/>
    <w:rsid w:val="00876A27"/>
    <w:rsid w:val="008772DB"/>
    <w:rsid w:val="00881B45"/>
    <w:rsid w:val="008837A3"/>
    <w:rsid w:val="00885ECF"/>
    <w:rsid w:val="00887953"/>
    <w:rsid w:val="008913FF"/>
    <w:rsid w:val="008917E2"/>
    <w:rsid w:val="008926D4"/>
    <w:rsid w:val="008945D9"/>
    <w:rsid w:val="00894AF5"/>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669A"/>
    <w:rsid w:val="008F7E2B"/>
    <w:rsid w:val="008F7FF8"/>
    <w:rsid w:val="00901655"/>
    <w:rsid w:val="00902331"/>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86301"/>
    <w:rsid w:val="009B1D1A"/>
    <w:rsid w:val="009B371C"/>
    <w:rsid w:val="009B60C2"/>
    <w:rsid w:val="009C2B94"/>
    <w:rsid w:val="009C47D1"/>
    <w:rsid w:val="009C491A"/>
    <w:rsid w:val="009C7660"/>
    <w:rsid w:val="009D1B97"/>
    <w:rsid w:val="009D2EB2"/>
    <w:rsid w:val="009D71C1"/>
    <w:rsid w:val="009E175C"/>
    <w:rsid w:val="009F2CF0"/>
    <w:rsid w:val="009F3877"/>
    <w:rsid w:val="00A01658"/>
    <w:rsid w:val="00A02C83"/>
    <w:rsid w:val="00A031F7"/>
    <w:rsid w:val="00A04690"/>
    <w:rsid w:val="00A05354"/>
    <w:rsid w:val="00A07F0E"/>
    <w:rsid w:val="00A13780"/>
    <w:rsid w:val="00A23B5B"/>
    <w:rsid w:val="00A25FF0"/>
    <w:rsid w:val="00A269C1"/>
    <w:rsid w:val="00A310D8"/>
    <w:rsid w:val="00A33253"/>
    <w:rsid w:val="00A373B3"/>
    <w:rsid w:val="00A40DD3"/>
    <w:rsid w:val="00A47D5B"/>
    <w:rsid w:val="00A500FB"/>
    <w:rsid w:val="00A5016D"/>
    <w:rsid w:val="00A6003B"/>
    <w:rsid w:val="00A60D94"/>
    <w:rsid w:val="00A6191D"/>
    <w:rsid w:val="00A7042C"/>
    <w:rsid w:val="00A70B20"/>
    <w:rsid w:val="00A7104F"/>
    <w:rsid w:val="00A733B9"/>
    <w:rsid w:val="00A8311B"/>
    <w:rsid w:val="00A85A46"/>
    <w:rsid w:val="00A87338"/>
    <w:rsid w:val="00A920AF"/>
    <w:rsid w:val="00A95B80"/>
    <w:rsid w:val="00AA165A"/>
    <w:rsid w:val="00AA3533"/>
    <w:rsid w:val="00AA7CED"/>
    <w:rsid w:val="00AB658D"/>
    <w:rsid w:val="00AB77A6"/>
    <w:rsid w:val="00AC6555"/>
    <w:rsid w:val="00AC6D68"/>
    <w:rsid w:val="00AD0BF8"/>
    <w:rsid w:val="00AD3DF6"/>
    <w:rsid w:val="00AD4036"/>
    <w:rsid w:val="00AD5E47"/>
    <w:rsid w:val="00AD7723"/>
    <w:rsid w:val="00AD7DD0"/>
    <w:rsid w:val="00AE2A03"/>
    <w:rsid w:val="00AE427C"/>
    <w:rsid w:val="00AE4C76"/>
    <w:rsid w:val="00AE64DB"/>
    <w:rsid w:val="00AF31BF"/>
    <w:rsid w:val="00AF5D7A"/>
    <w:rsid w:val="00AF76B6"/>
    <w:rsid w:val="00B01F08"/>
    <w:rsid w:val="00B0406F"/>
    <w:rsid w:val="00B05FAD"/>
    <w:rsid w:val="00B077FC"/>
    <w:rsid w:val="00B15CFC"/>
    <w:rsid w:val="00B16700"/>
    <w:rsid w:val="00B16E8F"/>
    <w:rsid w:val="00B22074"/>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2A72"/>
    <w:rsid w:val="00BC2BAE"/>
    <w:rsid w:val="00BC363C"/>
    <w:rsid w:val="00BC54C1"/>
    <w:rsid w:val="00BC6E83"/>
    <w:rsid w:val="00BC7952"/>
    <w:rsid w:val="00BD1DAA"/>
    <w:rsid w:val="00BD7B89"/>
    <w:rsid w:val="00BE6F31"/>
    <w:rsid w:val="00BE758C"/>
    <w:rsid w:val="00BF1127"/>
    <w:rsid w:val="00BF1763"/>
    <w:rsid w:val="00BF266D"/>
    <w:rsid w:val="00BF29F0"/>
    <w:rsid w:val="00BF6FDC"/>
    <w:rsid w:val="00BF763B"/>
    <w:rsid w:val="00C05654"/>
    <w:rsid w:val="00C22F8C"/>
    <w:rsid w:val="00C23AC8"/>
    <w:rsid w:val="00C26385"/>
    <w:rsid w:val="00C2720F"/>
    <w:rsid w:val="00C47390"/>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41AC"/>
    <w:rsid w:val="00CF4FB0"/>
    <w:rsid w:val="00CF54E1"/>
    <w:rsid w:val="00D02C9E"/>
    <w:rsid w:val="00D0361A"/>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2066"/>
    <w:rsid w:val="00DF57BE"/>
    <w:rsid w:val="00DF7B2A"/>
    <w:rsid w:val="00DF7FF3"/>
    <w:rsid w:val="00E00F10"/>
    <w:rsid w:val="00E059E9"/>
    <w:rsid w:val="00E06500"/>
    <w:rsid w:val="00E13554"/>
    <w:rsid w:val="00E1690E"/>
    <w:rsid w:val="00E22775"/>
    <w:rsid w:val="00E2287D"/>
    <w:rsid w:val="00E25431"/>
    <w:rsid w:val="00E33435"/>
    <w:rsid w:val="00E36359"/>
    <w:rsid w:val="00E4205F"/>
    <w:rsid w:val="00E45923"/>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337E"/>
    <w:rsid w:val="00EB6BC8"/>
    <w:rsid w:val="00EB74F3"/>
    <w:rsid w:val="00ED1389"/>
    <w:rsid w:val="00ED3574"/>
    <w:rsid w:val="00EE0271"/>
    <w:rsid w:val="00EE0957"/>
    <w:rsid w:val="00EE4044"/>
    <w:rsid w:val="00EF000D"/>
    <w:rsid w:val="00EF0819"/>
    <w:rsid w:val="00EF4AE2"/>
    <w:rsid w:val="00EF60D0"/>
    <w:rsid w:val="00F10B63"/>
    <w:rsid w:val="00F11EF1"/>
    <w:rsid w:val="00F138E0"/>
    <w:rsid w:val="00F2062E"/>
    <w:rsid w:val="00F22ABC"/>
    <w:rsid w:val="00F31841"/>
    <w:rsid w:val="00F4185D"/>
    <w:rsid w:val="00F53B44"/>
    <w:rsid w:val="00F545A3"/>
    <w:rsid w:val="00F55369"/>
    <w:rsid w:val="00F57B85"/>
    <w:rsid w:val="00F62967"/>
    <w:rsid w:val="00F6326B"/>
    <w:rsid w:val="00F65688"/>
    <w:rsid w:val="00F726DD"/>
    <w:rsid w:val="00F77A76"/>
    <w:rsid w:val="00F8300F"/>
    <w:rsid w:val="00F851B3"/>
    <w:rsid w:val="00F851B9"/>
    <w:rsid w:val="00F933AA"/>
    <w:rsid w:val="00F93B3E"/>
    <w:rsid w:val="00F9581E"/>
    <w:rsid w:val="00FA1110"/>
    <w:rsid w:val="00FA7611"/>
    <w:rsid w:val="00FB3ED0"/>
    <w:rsid w:val="00FB5706"/>
    <w:rsid w:val="00FB7858"/>
    <w:rsid w:val="00FC5096"/>
    <w:rsid w:val="00FC5AEA"/>
    <w:rsid w:val="00FC6BE2"/>
    <w:rsid w:val="00FD3BBA"/>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wypunktowanie,Obiekt"/>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4807</TotalTime>
  <Pages>29</Pages>
  <Words>13383</Words>
  <Characters>80298</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33</cp:revision>
  <cp:lastPrinted>2024-11-07T11:07:00Z</cp:lastPrinted>
  <dcterms:created xsi:type="dcterms:W3CDTF">2020-01-30T07:13:00Z</dcterms:created>
  <dcterms:modified xsi:type="dcterms:W3CDTF">2024-11-07T13:01:00Z</dcterms:modified>
</cp:coreProperties>
</file>